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p>
    <w:p/>
    <w:p>
      <w:pPr>
        <w:pStyle w:val="Title"/>
      </w:pPr>
      <w:r>
        <w:rPr>
          <w:color w:val="0C548A"/>
          <w:sz w:val="56"/>
        </w:rPr>
        <w:t>Parameterization Guide</w:t>
      </w:r>
    </w:p>
    <w:p>
      <w:r>
        <w:rPr>
          <w:b/>
          <w:color w:val="FF6D00"/>
          <w:sz w:val="28"/>
        </w:rPr>
        <w:t>Mastech Digital — Informatica Platform Assets</w:t>
      </w:r>
    </w:p>
    <w:p>
      <w:r>
        <w:rPr>
          <w:i/>
          <w:color w:val="4B5563"/>
          <w:sz w:val="22"/>
        </w:rPr>
        <w:t>Complete guide to parameterization strategies, patterns, and management practices for Informatica IICS.</w:t>
      </w:r>
    </w:p>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F4F6FA" w:val="clear"/>
          </w:tcPr>
          <w:p>
            <w:r>
              <w:rPr>
                <w:sz w:val="20"/>
              </w:rPr>
              <w:t>Parameterization Guide</w:t>
            </w:r>
          </w:p>
        </w:tc>
      </w:tr>
      <w:tr>
        <w:tc>
          <w:tcPr>
            <w:tcW w:type="dxa" w:w="4703"/>
            <w:shd w:fill="0C548A" w:val="clear"/>
          </w:tcPr>
          <w:p>
            <w:r>
              <w:rPr>
                <w:b/>
                <w:color w:val="FFFFFF"/>
                <w:sz w:val="20"/>
              </w:rPr>
              <w:t>Category</w:t>
            </w:r>
          </w:p>
        </w:tc>
        <w:tc>
          <w:tcPr>
            <w:tcW w:type="dxa" w:w="4703"/>
          </w:tcPr>
          <w:p>
            <w:r>
              <w:rPr>
                <w:sz w:val="20"/>
              </w:rPr>
              <w:t>Best Practices Library</w:t>
            </w:r>
          </w:p>
        </w:tc>
      </w:tr>
      <w:tr>
        <w:tc>
          <w:tcPr>
            <w:tcW w:type="dxa" w:w="4703"/>
            <w:shd w:fill="0C548A" w:val="clear"/>
          </w:tcPr>
          <w:p>
            <w:r>
              <w:rPr>
                <w:b/>
                <w:color w:val="FFFFFF"/>
                <w:sz w:val="20"/>
              </w:rPr>
              <w:t>Document ID</w:t>
            </w:r>
          </w:p>
        </w:tc>
        <w:tc>
          <w:tcPr>
            <w:tcW w:type="dxa" w:w="4703"/>
            <w:shd w:fill="F4F6FA" w:val="clear"/>
          </w:tcPr>
          <w:p>
            <w:r>
              <w:rPr>
                <w:sz w:val="20"/>
              </w:rPr>
              <w:t>#60</w:t>
            </w:r>
          </w:p>
        </w:tc>
      </w:tr>
      <w:tr>
        <w:tc>
          <w:tcPr>
            <w:tcW w:type="dxa" w:w="4703"/>
            <w:shd w:fill="0C548A" w:val="clear"/>
          </w:tcPr>
          <w:p>
            <w:r>
              <w:rPr>
                <w:b/>
                <w:color w:val="FFFFFF"/>
                <w:sz w:val="20"/>
              </w:rPr>
              <w:t>Version</w:t>
            </w:r>
          </w:p>
        </w:tc>
        <w:tc>
          <w:tcPr>
            <w:tcW w:type="dxa" w:w="4703"/>
          </w:tcPr>
          <w:p>
            <w:r>
              <w:rPr>
                <w:sz w:val="20"/>
              </w:rPr>
              <w:t>1.0</w:t>
            </w:r>
          </w:p>
        </w:tc>
      </w:tr>
      <w:tr>
        <w:tc>
          <w:tcPr>
            <w:tcW w:type="dxa" w:w="4703"/>
            <w:shd w:fill="0C548A" w:val="clear"/>
          </w:tcPr>
          <w:p>
            <w:r>
              <w:rPr>
                <w:b/>
                <w:color w:val="FFFFFF"/>
                <w:sz w:val="20"/>
              </w:rPr>
              <w:t>Date</w:t>
            </w:r>
          </w:p>
        </w:tc>
        <w:tc>
          <w:tcPr>
            <w:tcW w:type="dxa" w:w="4703"/>
            <w:shd w:fill="F4F6FA" w:val="clear"/>
          </w:tcPr>
          <w:p>
            <w:r>
              <w:rPr>
                <w:sz w:val="20"/>
              </w:rPr>
              <w:t>February 2026</w:t>
            </w:r>
          </w:p>
        </w:tc>
      </w:tr>
      <w:tr>
        <w:tc>
          <w:tcPr>
            <w:tcW w:type="dxa" w:w="4703"/>
            <w:shd w:fill="0C548A" w:val="clear"/>
          </w:tcPr>
          <w:p>
            <w:r>
              <w:rPr>
                <w:b/>
                <w:color w:val="FFFFFF"/>
                <w:sz w:val="20"/>
              </w:rPr>
              <w:t>Author</w:t>
            </w:r>
          </w:p>
        </w:tc>
        <w:tc>
          <w:tcPr>
            <w:tcW w:type="dxa" w:w="4703"/>
          </w:tcPr>
          <w:p>
            <w:r>
              <w:rPr>
                <w:sz w:val="20"/>
              </w:rPr>
              <w:t>Mastech Digital — Informatica Practice</w:t>
            </w:r>
          </w:p>
        </w:tc>
      </w:tr>
      <w:tr>
        <w:tc>
          <w:tcPr>
            <w:tcW w:type="dxa" w:w="4703"/>
            <w:shd w:fill="0C548A" w:val="clear"/>
          </w:tcPr>
          <w:p>
            <w:r>
              <w:rPr>
                <w:b/>
                <w:color w:val="FFFFFF"/>
                <w:sz w:val="20"/>
              </w:rPr>
              <w:t>Reviewed By</w:t>
            </w:r>
          </w:p>
        </w:tc>
        <w:tc>
          <w:tcPr>
            <w:tcW w:type="dxa" w:w="4703"/>
            <w:shd w:fill="F4F6FA" w:val="clear"/>
          </w:tcPr>
          <w:p>
            <w:r>
              <w:rPr>
                <w:sz w:val="20"/>
              </w:rPr>
              <w:t>Pending – Internal Review</w:t>
            </w:r>
          </w:p>
        </w:tc>
      </w:tr>
      <w:tr>
        <w:tc>
          <w:tcPr>
            <w:tcW w:type="dxa" w:w="4703"/>
            <w:shd w:fill="0C548A" w:val="clear"/>
          </w:tcPr>
          <w:p>
            <w:r>
              <w:rPr>
                <w:b/>
                <w:color w:val="FFFFFF"/>
                <w:sz w:val="20"/>
              </w:rPr>
              <w:t>Status</w:t>
            </w:r>
          </w:p>
        </w:tc>
        <w:tc>
          <w:tcPr>
            <w:tcW w:type="dxa" w:w="4703"/>
          </w:tcPr>
          <w:p>
            <w:r>
              <w:rPr>
                <w:sz w:val="20"/>
              </w:rPr>
              <w:t>Draft</w:t>
            </w:r>
          </w:p>
        </w:tc>
      </w:tr>
      <w:tr>
        <w:tc>
          <w:tcPr>
            <w:tcW w:type="dxa" w:w="4703"/>
            <w:shd w:fill="0C548A" w:val="clear"/>
          </w:tcPr>
          <w:p>
            <w:r>
              <w:rPr>
                <w:b/>
                <w:color w:val="FFFFFF"/>
                <w:sz w:val="20"/>
              </w:rPr>
              <w:t>Classification</w:t>
            </w:r>
          </w:p>
        </w:tc>
        <w:tc>
          <w:tcPr>
            <w:tcW w:type="dxa" w:w="4703"/>
            <w:shd w:fill="F4F6FA" w:val="clear"/>
          </w:tcPr>
          <w:p>
            <w:r>
              <w:rPr>
                <w:sz w:val="20"/>
              </w:rPr>
              <w:t>Internal – Mastech Digital</w:t>
            </w:r>
          </w:p>
        </w:tc>
      </w:tr>
      <w:tr>
        <w:tc>
          <w:tcPr>
            <w:tcW w:type="dxa" w:w="4703"/>
            <w:shd w:fill="0C548A" w:val="clear"/>
          </w:tcPr>
          <w:p>
            <w:r>
              <w:rPr>
                <w:b/>
                <w:color w:val="FFFFFF"/>
                <w:sz w:val="20"/>
              </w:rPr>
              <w:t>Platform Version</w:t>
            </w:r>
          </w:p>
        </w:tc>
        <w:tc>
          <w:tcPr>
            <w:tcW w:type="dxa" w:w="4703"/>
          </w:tcPr>
          <w:p>
            <w:r>
              <w:rPr>
                <w:sz w:val="20"/>
              </w:rPr>
              <w:t>Informatica IDMC (IICS) – Early 2026</w:t>
            </w:r>
          </w:p>
        </w:tc>
      </w:tr>
      <w:tr>
        <w:tc>
          <w:tcPr>
            <w:tcW w:type="dxa" w:w="4703"/>
            <w:shd w:fill="0C548A" w:val="clear"/>
          </w:tcPr>
          <w:p>
            <w:r>
              <w:rPr>
                <w:b/>
                <w:color w:val="FFFFFF"/>
                <w:sz w:val="20"/>
              </w:rPr>
              <w:t>Next Review</w:t>
            </w:r>
          </w:p>
        </w:tc>
        <w:tc>
          <w:tcPr>
            <w:tcW w:type="dxa" w:w="4703"/>
            <w:shd w:fill="F4F6FA" w:val="clear"/>
          </w:tcPr>
          <w:p>
            <w:r>
              <w:rPr>
                <w:sz w:val="20"/>
              </w:rPr>
              <w:t>August 2026</w:t>
            </w:r>
          </w:p>
        </w:tc>
      </w:tr>
    </w:tbl>
    <w:p/>
    <w:p>
      <w:r>
        <w:br w:type="page"/>
      </w:r>
    </w:p>
    <w:p>
      <w:pPr>
        <w:pStyle w:val="Heading1"/>
      </w:pPr>
      <w:r>
        <w:t>Executive Summary</w:t>
      </w:r>
    </w:p>
    <w:p>
      <w:r>
        <w:t>Parameterization is the foundation of portable, environment-agnostic IICS assets. This guide defines the parameter types available in IICS, establishes naming conventions, documents proven parameterization patterns, and provides guidance on managing parameters at scale across multiple environments and CI/CD pipelines. Proper parameterization eliminates environment-specific hardcoding and enables reliable, automated deployments.</w:t>
      </w:r>
    </w:p>
    <w:p/>
    <w:p>
      <w:pPr>
        <w:pStyle w:val="Heading1"/>
      </w:pPr>
      <w:r>
        <w:t>Table of Contents</w:t>
      </w:r>
    </w:p>
    <w:p>
      <w:pPr>
        <w:spacing w:after="60"/>
      </w:pPr>
      <w:r>
        <w:rPr>
          <w:color w:val="0C548A"/>
          <w:sz w:val="22"/>
        </w:rPr>
        <w:t>1.0  Parameter Types</w:t>
      </w:r>
    </w:p>
    <w:p>
      <w:pPr>
        <w:spacing w:after="60"/>
      </w:pPr>
      <w:r>
        <w:rPr>
          <w:color w:val="0C548A"/>
          <w:sz w:val="22"/>
        </w:rPr>
        <w:t>2.0  Parameter Files</w:t>
      </w:r>
    </w:p>
    <w:p>
      <w:pPr>
        <w:spacing w:after="60"/>
      </w:pPr>
      <w:r>
        <w:rPr>
          <w:color w:val="0C548A"/>
          <w:sz w:val="22"/>
        </w:rPr>
        <w:t>3.0  Parameter Sets</w:t>
      </w:r>
    </w:p>
    <w:p>
      <w:pPr>
        <w:spacing w:after="60"/>
      </w:pPr>
      <w:r>
        <w:rPr>
          <w:color w:val="0C548A"/>
          <w:sz w:val="22"/>
        </w:rPr>
        <w:t>4.0  Parameter Hierarchy</w:t>
      </w:r>
    </w:p>
    <w:p>
      <w:pPr>
        <w:spacing w:after="60"/>
      </w:pPr>
      <w:r>
        <w:rPr>
          <w:color w:val="0C548A"/>
          <w:sz w:val="22"/>
        </w:rPr>
        <w:t>5.0  Environment-Specific Parameters</w:t>
      </w:r>
    </w:p>
    <w:p>
      <w:pPr>
        <w:spacing w:after="60"/>
      </w:pPr>
      <w:r>
        <w:rPr>
          <w:color w:val="0C548A"/>
          <w:sz w:val="22"/>
        </w:rPr>
        <w:t>6.0  Secure Parameters</w:t>
      </w:r>
    </w:p>
    <w:p>
      <w:pPr>
        <w:spacing w:after="60"/>
      </w:pPr>
      <w:r>
        <w:rPr>
          <w:color w:val="0C548A"/>
          <w:sz w:val="22"/>
        </w:rPr>
        <w:t>7.0  Dynamic Parameter Values</w:t>
      </w:r>
    </w:p>
    <w:p>
      <w:pPr>
        <w:spacing w:after="60"/>
      </w:pPr>
      <w:r>
        <w:rPr>
          <w:color w:val="0C548A"/>
          <w:sz w:val="22"/>
        </w:rPr>
        <w:t>8.0  Parameter Naming Conventions</w:t>
      </w:r>
    </w:p>
    <w:p>
      <w:pPr>
        <w:spacing w:after="60"/>
      </w:pPr>
      <w:r>
        <w:rPr>
          <w:color w:val="0C548A"/>
          <w:sz w:val="22"/>
        </w:rPr>
        <w:t>9.0  Parameterization Patterns</w:t>
      </w:r>
    </w:p>
    <w:p>
      <w:pPr>
        <w:spacing w:after="60"/>
      </w:pPr>
      <w:r>
        <w:rPr>
          <w:color w:val="0C548A"/>
          <w:sz w:val="22"/>
        </w:rPr>
        <w:t>10.0  Parameter Management at Scale</w:t>
      </w:r>
    </w:p>
    <w:p>
      <w:pPr>
        <w:spacing w:after="60"/>
      </w:pPr>
      <w:r>
        <w:rPr>
          <w:color w:val="0C548A"/>
          <w:sz w:val="22"/>
        </w:rPr>
        <w:t>11.0  CI/CD Parameter Promotion</w:t>
      </w:r>
    </w:p>
    <w:p>
      <w:pPr>
        <w:spacing w:after="60"/>
      </w:pPr>
      <w:r>
        <w:rPr>
          <w:color w:val="0C548A"/>
          <w:sz w:val="22"/>
        </w:rPr>
        <w:t>12.0  Parameter Audit Trail</w:t>
      </w:r>
    </w:p>
    <w:p>
      <w:pPr>
        <w:spacing w:after="60"/>
      </w:pPr>
      <w:r>
        <w:rPr>
          <w:color w:val="0C548A"/>
          <w:sz w:val="22"/>
        </w:rPr>
        <w:t>13.0  Related Assets</w:t>
      </w:r>
    </w:p>
    <w:p>
      <w:r>
        <w:br w:type="page"/>
      </w:r>
    </w:p>
    <w:p>
      <w:pPr>
        <w:pStyle w:val="Heading1"/>
      </w:pPr>
      <w:r>
        <w:t>Prerequisites &amp; Applicability</w:t>
      </w:r>
    </w:p>
    <w:p>
      <w:pPr>
        <w:pStyle w:val="ListBullet"/>
      </w:pPr>
      <w:r>
        <w:t>Access to Informatica IICS Org with Developer or Admin role</w:t>
      </w:r>
    </w:p>
    <w:p>
      <w:pPr>
        <w:pStyle w:val="ListBullet"/>
      </w:pPr>
      <w:r>
        <w:t>Understanding of IICS mapping and taskflow execution model</w:t>
      </w:r>
    </w:p>
    <w:p>
      <w:pPr>
        <w:pStyle w:val="ListBullet"/>
      </w:pPr>
      <w:r>
        <w:t>Familiarity with IICS parameter file syntax and parameter sets UI</w:t>
      </w:r>
    </w:p>
    <w:p>
      <w:pPr>
        <w:pStyle w:val="ListBullet"/>
      </w:pPr>
      <w:r>
        <w:t>Access to CI/CD tools (Jenkins, Azure DevOps, or equivalent)</w:t>
      </w:r>
    </w:p>
    <w:p>
      <w:pPr>
        <w:pStyle w:val="ListBullet"/>
      </w:pPr>
      <w:r>
        <w:t>Review of INFA_IICS_Development_Standards.docx (#58) for baseline development standards</w:t>
      </w:r>
    </w:p>
    <w:p/>
    <w:p>
      <w:pPr>
        <w:pStyle w:val="Heading1"/>
      </w:pPr>
      <w:r>
        <w:t>1. Parameter Types</w:t>
      </w:r>
    </w:p>
    <w:p>
      <w:r>
        <w:t>IICS supports multiple parameter types, each serving a distinct purpose in the parameterization model. Understanding these types is essential for correct usage.</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Parameter Type</w:t>
            </w:r>
          </w:p>
        </w:tc>
        <w:tc>
          <w:tcPr>
            <w:tcW w:type="dxa" w:w="2351"/>
            <w:shd w:fill="0C548A" w:val="clear"/>
          </w:tcPr>
          <w:p>
            <w:r>
              <w:rPr>
                <w:b/>
                <w:color w:val="FFFFFF"/>
                <w:sz w:val="20"/>
              </w:rPr>
              <w:t>Direction</w:t>
            </w:r>
          </w:p>
        </w:tc>
        <w:tc>
          <w:tcPr>
            <w:tcW w:type="dxa" w:w="2351"/>
            <w:shd w:fill="0C548A" w:val="clear"/>
          </w:tcPr>
          <w:p>
            <w:r>
              <w:rPr>
                <w:b/>
                <w:color w:val="FFFFFF"/>
                <w:sz w:val="20"/>
              </w:rPr>
              <w:t>Description</w:t>
            </w:r>
          </w:p>
        </w:tc>
        <w:tc>
          <w:tcPr>
            <w:tcW w:type="dxa" w:w="2351"/>
            <w:shd w:fill="0C548A" w:val="clear"/>
          </w:tcPr>
          <w:p>
            <w:r>
              <w:rPr>
                <w:b/>
                <w:color w:val="FFFFFF"/>
                <w:sz w:val="20"/>
              </w:rPr>
              <w:t>Typical Use</w:t>
            </w:r>
          </w:p>
        </w:tc>
      </w:tr>
      <w:tr>
        <w:tc>
          <w:tcPr>
            <w:tcW w:type="dxa" w:w="2351"/>
          </w:tcPr>
          <w:p>
            <w:r>
              <w:rPr>
                <w:sz w:val="20"/>
              </w:rPr>
              <w:t>Input</w:t>
            </w:r>
          </w:p>
        </w:tc>
        <w:tc>
          <w:tcPr>
            <w:tcW w:type="dxa" w:w="2351"/>
          </w:tcPr>
          <w:p>
            <w:r>
              <w:rPr>
                <w:sz w:val="20"/>
              </w:rPr>
              <w:t>Caller → Mapping</w:t>
            </w:r>
          </w:p>
        </w:tc>
        <w:tc>
          <w:tcPr>
            <w:tcW w:type="dxa" w:w="2351"/>
          </w:tcPr>
          <w:p>
            <w:r>
              <w:rPr>
                <w:sz w:val="20"/>
              </w:rPr>
              <w:t>Value provided by caller (taskflow or schedule)</w:t>
            </w:r>
          </w:p>
        </w:tc>
        <w:tc>
          <w:tcPr>
            <w:tcW w:type="dxa" w:w="2351"/>
          </w:tcPr>
          <w:p>
            <w:r>
              <w:rPr>
                <w:sz w:val="20"/>
              </w:rPr>
              <w:t>Date range, batch ID, file path</w:t>
            </w:r>
          </w:p>
        </w:tc>
      </w:tr>
      <w:tr>
        <w:tc>
          <w:tcPr>
            <w:tcW w:type="dxa" w:w="2351"/>
            <w:shd w:fill="F4F6FA" w:val="clear"/>
          </w:tcPr>
          <w:p>
            <w:r>
              <w:rPr>
                <w:sz w:val="20"/>
              </w:rPr>
              <w:t>Output</w:t>
            </w:r>
          </w:p>
        </w:tc>
        <w:tc>
          <w:tcPr>
            <w:tcW w:type="dxa" w:w="2351"/>
            <w:shd w:fill="F4F6FA" w:val="clear"/>
          </w:tcPr>
          <w:p>
            <w:r>
              <w:rPr>
                <w:sz w:val="20"/>
              </w:rPr>
              <w:t>Mapping → Caller</w:t>
            </w:r>
          </w:p>
        </w:tc>
        <w:tc>
          <w:tcPr>
            <w:tcW w:type="dxa" w:w="2351"/>
            <w:shd w:fill="F4F6FA" w:val="clear"/>
          </w:tcPr>
          <w:p>
            <w:r>
              <w:rPr>
                <w:sz w:val="20"/>
              </w:rPr>
              <w:t>Value returned to caller after execution</w:t>
            </w:r>
          </w:p>
        </w:tc>
        <w:tc>
          <w:tcPr>
            <w:tcW w:type="dxa" w:w="2351"/>
            <w:shd w:fill="F4F6FA" w:val="clear"/>
          </w:tcPr>
          <w:p>
            <w:r>
              <w:rPr>
                <w:sz w:val="20"/>
              </w:rPr>
              <w:t>Row count, status code, error message</w:t>
            </w:r>
          </w:p>
        </w:tc>
      </w:tr>
      <w:tr>
        <w:tc>
          <w:tcPr>
            <w:tcW w:type="dxa" w:w="2351"/>
          </w:tcPr>
          <w:p>
            <w:r>
              <w:rPr>
                <w:sz w:val="20"/>
              </w:rPr>
              <w:t>In-Out</w:t>
            </w:r>
          </w:p>
        </w:tc>
        <w:tc>
          <w:tcPr>
            <w:tcW w:type="dxa" w:w="2351"/>
          </w:tcPr>
          <w:p>
            <w:r>
              <w:rPr>
                <w:sz w:val="20"/>
              </w:rPr>
              <w:t>Bidirectional</w:t>
            </w:r>
          </w:p>
        </w:tc>
        <w:tc>
          <w:tcPr>
            <w:tcW w:type="dxa" w:w="2351"/>
          </w:tcPr>
          <w:p>
            <w:r>
              <w:rPr>
                <w:sz w:val="20"/>
              </w:rPr>
              <w:t>Value passed in and updated value returned</w:t>
            </w:r>
          </w:p>
        </w:tc>
        <w:tc>
          <w:tcPr>
            <w:tcW w:type="dxa" w:w="2351"/>
          </w:tcPr>
          <w:p>
            <w:r>
              <w:rPr>
                <w:sz w:val="20"/>
              </w:rPr>
              <w:t>Running total, checkpoint value</w:t>
            </w:r>
          </w:p>
        </w:tc>
      </w:tr>
      <w:tr>
        <w:tc>
          <w:tcPr>
            <w:tcW w:type="dxa" w:w="2351"/>
            <w:shd w:fill="F4F6FA" w:val="clear"/>
          </w:tcPr>
          <w:p>
            <w:r>
              <w:rPr>
                <w:sz w:val="20"/>
              </w:rPr>
              <w:t>Connection</w:t>
            </w:r>
          </w:p>
        </w:tc>
        <w:tc>
          <w:tcPr>
            <w:tcW w:type="dxa" w:w="2351"/>
            <w:shd w:fill="F4F6FA" w:val="clear"/>
          </w:tcPr>
          <w:p>
            <w:r>
              <w:rPr>
                <w:sz w:val="20"/>
              </w:rPr>
              <w:t>Caller → Mapping</w:t>
            </w:r>
          </w:p>
        </w:tc>
        <w:tc>
          <w:tcPr>
            <w:tcW w:type="dxa" w:w="2351"/>
            <w:shd w:fill="F4F6FA" w:val="clear"/>
          </w:tcPr>
          <w:p>
            <w:r>
              <w:rPr>
                <w:sz w:val="20"/>
              </w:rPr>
              <w:t>Override connection assignment at runtime</w:t>
            </w:r>
          </w:p>
        </w:tc>
        <w:tc>
          <w:tcPr>
            <w:tcW w:type="dxa" w:w="2351"/>
            <w:shd w:fill="F4F6FA" w:val="clear"/>
          </w:tcPr>
          <w:p>
            <w:r>
              <w:rPr>
                <w:sz w:val="20"/>
              </w:rPr>
              <w:t>Environment-specific database connection</w:t>
            </w:r>
          </w:p>
        </w:tc>
      </w:tr>
      <w:tr>
        <w:tc>
          <w:tcPr>
            <w:tcW w:type="dxa" w:w="2351"/>
          </w:tcPr>
          <w:p>
            <w:r>
              <w:rPr>
                <w:sz w:val="20"/>
              </w:rPr>
              <w:t>Data Filter</w:t>
            </w:r>
          </w:p>
        </w:tc>
        <w:tc>
          <w:tcPr>
            <w:tcW w:type="dxa" w:w="2351"/>
          </w:tcPr>
          <w:p>
            <w:r>
              <w:rPr>
                <w:sz w:val="20"/>
              </w:rPr>
              <w:t>Caller → Mapping</w:t>
            </w:r>
          </w:p>
        </w:tc>
        <w:tc>
          <w:tcPr>
            <w:tcW w:type="dxa" w:w="2351"/>
          </w:tcPr>
          <w:p>
            <w:r>
              <w:rPr>
                <w:sz w:val="20"/>
              </w:rPr>
              <w:t>Dynamic WHERE clause for source qualifier</w:t>
            </w:r>
          </w:p>
        </w:tc>
        <w:tc>
          <w:tcPr>
            <w:tcW w:type="dxa" w:w="2351"/>
          </w:tcPr>
          <w:p>
            <w:r>
              <w:rPr>
                <w:sz w:val="20"/>
              </w:rPr>
              <w:t>Incremental load date filter, region filter</w:t>
            </w:r>
          </w:p>
        </w:tc>
      </w:tr>
    </w:tbl>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Connection parameters are the most critical parameter type for environment portability. Every mapping that connects to an external system must use a connection parameter — never a hardcoded connection reference.</w:t>
      </w:r>
    </w:p>
    <w:p/>
    <w:p>
      <w:r>
        <w:br w:type="page"/>
      </w:r>
    </w:p>
    <w:p>
      <w:pPr>
        <w:pStyle w:val="Heading1"/>
      </w:pPr>
      <w:r>
        <w:t>2. Parameter Files</w:t>
      </w:r>
    </w:p>
    <w:p>
      <w:r>
        <w:t>Parameter files provide a flat-file mechanism for passing parameter values to mappings and taskflows. They are useful for batch processing scenarios and legacy migration.</w:t>
      </w:r>
    </w:p>
    <w:p>
      <w:pPr>
        <w:pStyle w:val="Heading2"/>
      </w:pPr>
      <w:r>
        <w:t>2.1 Parameter File Syntax</w:t>
      </w:r>
    </w:p>
    <w:p>
      <w:pPr>
        <w:pStyle w:val="NoSpacing"/>
        <w:shd w:fill="F5F5F5" w:val="clear"/>
        <w:ind w:left="432"/>
      </w:pPr>
      <w:r>
        <w:rPr>
          <w:rFonts w:ascii="Consolas" w:hAnsi="Consolas"/>
          <w:sz w:val="18"/>
        </w:rPr>
        <w:t># Parameter file: pf_SalesLoad_DEV.txt</w:t>
      </w:r>
    </w:p>
    <w:p>
      <w:pPr>
        <w:pStyle w:val="NoSpacing"/>
        <w:shd w:fill="F5F5F5" w:val="clear"/>
        <w:ind w:left="432"/>
      </w:pPr>
      <w:r>
        <w:rPr>
          <w:rFonts w:ascii="Consolas" w:hAnsi="Consolas"/>
          <w:sz w:val="18"/>
        </w:rPr>
        <w:t># Format: [&lt;FolderName&gt;.&lt;MappingName&gt;.]&lt;ParameterName&gt;=&lt;Value&gt;</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$$DB_SCHEMA=DEV_DW</w:t>
      </w:r>
    </w:p>
    <w:p>
      <w:pPr>
        <w:pStyle w:val="NoSpacing"/>
        <w:shd w:fill="F5F5F5" w:val="clear"/>
        <w:ind w:left="432"/>
      </w:pPr>
      <w:r>
        <w:rPr>
          <w:rFonts w:ascii="Consolas" w:hAnsi="Consolas"/>
          <w:sz w:val="18"/>
        </w:rPr>
        <w:t>$$SOURCE_FILTER=order_date &gt;= '2026-01-01'</w:t>
      </w:r>
    </w:p>
    <w:p>
      <w:pPr>
        <w:pStyle w:val="NoSpacing"/>
        <w:shd w:fill="F5F5F5" w:val="clear"/>
        <w:ind w:left="432"/>
      </w:pPr>
      <w:r>
        <w:rPr>
          <w:rFonts w:ascii="Consolas" w:hAnsi="Consolas"/>
          <w:sz w:val="18"/>
        </w:rPr>
        <w:t>$$BATCH_SIZE=10000</w:t>
      </w:r>
    </w:p>
    <w:p>
      <w:pPr>
        <w:pStyle w:val="NoSpacing"/>
        <w:shd w:fill="F5F5F5" w:val="clear"/>
        <w:ind w:left="432"/>
      </w:pPr>
      <w:r>
        <w:rPr>
          <w:rFonts w:ascii="Consolas" w:hAnsi="Consolas"/>
          <w:sz w:val="18"/>
        </w:rPr>
        <w:t>$$LOG_LEVEL=INFO</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Mapping-specific override:</w:t>
      </w:r>
    </w:p>
    <w:p>
      <w:pPr>
        <w:pStyle w:val="NoSpacing"/>
        <w:shd w:fill="F5F5F5" w:val="clear"/>
        <w:ind w:left="432"/>
      </w:pPr>
      <w:r>
        <w:rPr>
          <w:rFonts w:ascii="Consolas" w:hAnsi="Consolas"/>
          <w:sz w:val="18"/>
        </w:rPr>
        <w:t>Sales.m_SAP_DW_SalesLoad.$$TARGET_TABLE=stg_sales_daily</w:t>
      </w:r>
    </w:p>
    <w:p/>
    <w:p>
      <w:pPr>
        <w:pStyle w:val="Heading2"/>
      </w:pPr>
      <w:r>
        <w:t>2.2 Parameter File Best Practices</w:t>
      </w:r>
    </w:p>
    <w:p>
      <w:pPr>
        <w:pStyle w:val="ListBullet"/>
      </w:pPr>
      <w:r>
        <w:t>Maintain one parameter file per environment per pipeline scope</w:t>
      </w:r>
    </w:p>
    <w:p>
      <w:pPr>
        <w:pStyle w:val="ListBullet"/>
      </w:pPr>
      <w:r>
        <w:t>Store parameter files in version control alongside IICS asset exports</w:t>
      </w:r>
    </w:p>
    <w:p>
      <w:pPr>
        <w:pStyle w:val="ListBullet"/>
      </w:pPr>
      <w:r>
        <w:t>Use comments to document the purpose and valid values for each parameter</w:t>
      </w:r>
    </w:p>
    <w:p>
      <w:pPr>
        <w:pStyle w:val="ListBullet"/>
      </w:pPr>
      <w:r>
        <w:t>Never include passwords or secrets in parameter files — use secure parameters instead</w:t>
      </w:r>
    </w:p>
    <w:p>
      <w:pPr>
        <w:pStyle w:val="ListBullet"/>
      </w:pPr>
      <w:r>
        <w:t>Validate parameter files in CI pipeline before deployment</w:t>
      </w:r>
    </w:p>
    <w:p>
      <w:pPr>
        <w:pStyle w:val="Heading1"/>
      </w:pPr>
      <w:r>
        <w:t>3. Parameter Sets</w:t>
      </w:r>
    </w:p>
    <w:p>
      <w:r>
        <w:t>Parameter sets are the IICS-native mechanism for grouping related parameters. They provide a structured, UI-driven alternative to flat parameter files.</w:t>
      </w:r>
    </w:p>
    <w:p>
      <w:pPr>
        <w:pStyle w:val="Heading2"/>
      </w:pPr>
      <w:r>
        <w:t>3.1 When to Use Parameter Sets</w:t>
      </w:r>
    </w:p>
    <w:p>
      <w:pPr>
        <w:pStyle w:val="ListBullet"/>
      </w:pPr>
      <w:r>
        <w:t>Environment-specific configuration that changes across DEV/QA/PRD</w:t>
      </w:r>
    </w:p>
    <w:p>
      <w:pPr>
        <w:pStyle w:val="ListBullet"/>
      </w:pPr>
      <w:r>
        <w:t>Secure parameters (passwords, tokens) that must be encrypted at rest</w:t>
      </w:r>
    </w:p>
    <w:p>
      <w:pPr>
        <w:pStyle w:val="ListBullet"/>
      </w:pPr>
      <w:r>
        <w:t>Shared parameters used across multiple mappings within a project</w:t>
      </w:r>
    </w:p>
    <w:p>
      <w:pPr>
        <w:pStyle w:val="ListBullet"/>
      </w:pPr>
      <w:r>
        <w:t>Connection overrides for environment promotion</w:t>
      </w:r>
    </w:p>
    <w:p>
      <w:pPr>
        <w:pStyle w:val="Heading2"/>
      </w:pPr>
      <w:r>
        <w:t>3.2 Parameter Set Organization</w:t>
      </w:r>
    </w:p>
    <w:p>
      <w:pPr>
        <w:pStyle w:val="NoSpacing"/>
        <w:shd w:fill="F5F5F5" w:val="clear"/>
        <w:ind w:left="432"/>
      </w:pPr>
      <w:r>
        <w:rPr>
          <w:rFonts w:ascii="Consolas" w:hAnsi="Consolas"/>
          <w:sz w:val="18"/>
        </w:rPr>
        <w:t># Recommended parameter set structure:</w:t>
      </w:r>
    </w:p>
    <w:p>
      <w:pPr>
        <w:pStyle w:val="NoSpacing"/>
        <w:shd w:fill="F5F5F5" w:val="clear"/>
        <w:ind w:left="432"/>
      </w:pPr>
      <w:r>
        <w:rPr>
          <w:rFonts w:ascii="Consolas" w:hAnsi="Consolas"/>
          <w:sz w:val="18"/>
        </w:rPr>
        <w:t>PS_&lt;Scope&gt;_&lt;Environment&gt;</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Examples:</w:t>
      </w:r>
    </w:p>
    <w:p>
      <w:pPr>
        <w:pStyle w:val="NoSpacing"/>
        <w:shd w:fill="F5F5F5" w:val="clear"/>
        <w:ind w:left="432"/>
      </w:pPr>
      <w:r>
        <w:rPr>
          <w:rFonts w:ascii="Consolas" w:hAnsi="Consolas"/>
          <w:sz w:val="18"/>
        </w:rPr>
        <w:t xml:space="preserve">  PS_SalesLoad_DEV      -- DEV parameters for Sales Load pipeline</w:t>
      </w:r>
    </w:p>
    <w:p>
      <w:pPr>
        <w:pStyle w:val="NoSpacing"/>
        <w:shd w:fill="F5F5F5" w:val="clear"/>
        <w:ind w:left="432"/>
      </w:pPr>
      <w:r>
        <w:rPr>
          <w:rFonts w:ascii="Consolas" w:hAnsi="Consolas"/>
          <w:sz w:val="18"/>
        </w:rPr>
        <w:t xml:space="preserve">  PS_SalesLoad_QA       -- QA parameters for Sales Load pipeline</w:t>
      </w:r>
    </w:p>
    <w:p>
      <w:pPr>
        <w:pStyle w:val="NoSpacing"/>
        <w:shd w:fill="F5F5F5" w:val="clear"/>
        <w:ind w:left="432"/>
      </w:pPr>
      <w:r>
        <w:rPr>
          <w:rFonts w:ascii="Consolas" w:hAnsi="Consolas"/>
          <w:sz w:val="18"/>
        </w:rPr>
        <w:t xml:space="preserve">  PS_SalesLoad_PRD      -- PRD parameters for Sales Load pipeline</w:t>
      </w:r>
    </w:p>
    <w:p>
      <w:pPr>
        <w:pStyle w:val="NoSpacing"/>
        <w:shd w:fill="F5F5F5" w:val="clear"/>
        <w:ind w:left="432"/>
      </w:pPr>
      <w:r>
        <w:rPr>
          <w:rFonts w:ascii="Consolas" w:hAnsi="Consolas"/>
          <w:sz w:val="18"/>
        </w:rPr>
        <w:t xml:space="preserve">  PS_Global_DEV         -- Shared DEV parameters across all pipelines</w:t>
      </w:r>
    </w:p>
    <w:p>
      <w:pPr>
        <w:pStyle w:val="NoSpacing"/>
        <w:shd w:fill="F5F5F5" w:val="clear"/>
        <w:ind w:left="432"/>
      </w:pPr>
      <w:r>
        <w:rPr>
          <w:rFonts w:ascii="Consolas" w:hAnsi="Consolas"/>
          <w:sz w:val="18"/>
        </w:rPr>
        <w:t xml:space="preserve">  PS_Global_PRD         -- Shared PRD parameters across all pipelines</w:t>
      </w:r>
    </w:p>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Prefer parameter sets over parameter files for new IICS projects. Parameter sets integrate natively with IICS connection assignments, support secure parameter types, and are manageable through the IICS REST API.</w:t>
      </w:r>
    </w:p>
    <w:p/>
    <w:p>
      <w:r>
        <w:br w:type="page"/>
      </w:r>
    </w:p>
    <w:p>
      <w:pPr>
        <w:pStyle w:val="Heading1"/>
      </w:pPr>
      <w:r>
        <w:t>4. Parameter Hierarchy</w:t>
      </w:r>
    </w:p>
    <w:p>
      <w:r>
        <w:t>When the same parameter is defined at multiple levels, IICS applies a resolution hierarchy. Understanding this hierarchy prevents unexpected override behavior.</w:t>
      </w:r>
    </w:p>
    <w:p>
      <w:pPr>
        <w:pStyle w:val="Heading2"/>
      </w:pPr>
      <w:r>
        <w:t>4.1 Resolution Order</w:t>
      </w:r>
    </w:p>
    <w:p>
      <w:r>
        <w:t>Parameters are resolved from highest to lowest priority:</w:t>
      </w:r>
    </w:p>
    <w:p>
      <w:pPr>
        <w:pStyle w:val="NoSpacing"/>
        <w:shd w:fill="F5F5F5" w:val="clear"/>
        <w:ind w:left="432"/>
      </w:pPr>
      <w:r>
        <w:rPr>
          <w:rFonts w:ascii="Consolas" w:hAnsi="Consolas"/>
          <w:sz w:val="18"/>
        </w:rPr>
        <w:t>Priority 1 (Highest):  Runtime API / CLI override</w:t>
      </w:r>
    </w:p>
    <w:p>
      <w:pPr>
        <w:pStyle w:val="NoSpacing"/>
        <w:shd w:fill="F5F5F5" w:val="clear"/>
        <w:ind w:left="432"/>
      </w:pPr>
      <w:r>
        <w:rPr>
          <w:rFonts w:ascii="Consolas" w:hAnsi="Consolas"/>
          <w:sz w:val="18"/>
        </w:rPr>
        <w:t>Priority 2:            Schedule-level parameter value</w:t>
      </w:r>
    </w:p>
    <w:p>
      <w:pPr>
        <w:pStyle w:val="NoSpacing"/>
        <w:shd w:fill="F5F5F5" w:val="clear"/>
        <w:ind w:left="432"/>
      </w:pPr>
      <w:r>
        <w:rPr>
          <w:rFonts w:ascii="Consolas" w:hAnsi="Consolas"/>
          <w:sz w:val="18"/>
        </w:rPr>
        <w:t>Priority 3:            Taskflow-level parameter value</w:t>
      </w:r>
    </w:p>
    <w:p>
      <w:pPr>
        <w:pStyle w:val="NoSpacing"/>
        <w:shd w:fill="F5F5F5" w:val="clear"/>
        <w:ind w:left="432"/>
      </w:pPr>
      <w:r>
        <w:rPr>
          <w:rFonts w:ascii="Consolas" w:hAnsi="Consolas"/>
          <w:sz w:val="18"/>
        </w:rPr>
        <w:t>Priority 4:            Mapping-level parameter default</w:t>
      </w:r>
    </w:p>
    <w:p>
      <w:pPr>
        <w:pStyle w:val="NoSpacing"/>
        <w:shd w:fill="F5F5F5" w:val="clear"/>
        <w:ind w:left="432"/>
      </w:pPr>
      <w:r>
        <w:rPr>
          <w:rFonts w:ascii="Consolas" w:hAnsi="Consolas"/>
          <w:sz w:val="18"/>
        </w:rPr>
        <w:t>Priority 5:            Parameter file value</w:t>
      </w:r>
    </w:p>
    <w:p>
      <w:pPr>
        <w:pStyle w:val="NoSpacing"/>
        <w:shd w:fill="F5F5F5" w:val="clear"/>
        <w:ind w:left="432"/>
      </w:pPr>
      <w:r>
        <w:rPr>
          <w:rFonts w:ascii="Consolas" w:hAnsi="Consolas"/>
          <w:sz w:val="18"/>
        </w:rPr>
        <w:t>Priority 6 (Lowest):   Connection attribute default</w:t>
      </w:r>
    </w:p>
    <w:p/>
    <w:p>
      <w:pPr>
        <w:pStyle w:val="Heading2"/>
      </w:pPr>
      <w:r>
        <w:t>4.2 Hierarchy Example</w:t>
      </w:r>
    </w:p>
    <w:p>
      <w:pPr>
        <w:pStyle w:val="NoSpacing"/>
        <w:shd w:fill="F5F5F5" w:val="clear"/>
        <w:ind w:left="432"/>
      </w:pPr>
      <w:r>
        <w:rPr>
          <w:rFonts w:ascii="Consolas" w:hAnsi="Consolas"/>
          <w:sz w:val="18"/>
        </w:rPr>
        <w:t># Parameter: $$DB_SCHEMA</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Mapping default:    $$DB_SCHEMA = 'DEV_DW'</w:t>
      </w:r>
    </w:p>
    <w:p>
      <w:pPr>
        <w:pStyle w:val="NoSpacing"/>
        <w:shd w:fill="F5F5F5" w:val="clear"/>
        <w:ind w:left="432"/>
      </w:pPr>
      <w:r>
        <w:rPr>
          <w:rFonts w:ascii="Consolas" w:hAnsi="Consolas"/>
          <w:sz w:val="18"/>
        </w:rPr>
        <w:t>Parameter file:     $$DB_SCHEMA = 'QA_DW'        ← overrides mapping default</w:t>
      </w:r>
    </w:p>
    <w:p>
      <w:pPr>
        <w:pStyle w:val="NoSpacing"/>
        <w:shd w:fill="F5F5F5" w:val="clear"/>
        <w:ind w:left="432"/>
      </w:pPr>
      <w:r>
        <w:rPr>
          <w:rFonts w:ascii="Consolas" w:hAnsi="Consolas"/>
          <w:sz w:val="18"/>
        </w:rPr>
        <w:t>Taskflow setting:   $$DB_SCHEMA = 'STAGING_DW'   ← overrides parameter file</w:t>
      </w:r>
    </w:p>
    <w:p>
      <w:pPr>
        <w:pStyle w:val="NoSpacing"/>
        <w:shd w:fill="F5F5F5" w:val="clear"/>
        <w:ind w:left="432"/>
      </w:pPr>
      <w:r>
        <w:rPr>
          <w:rFonts w:ascii="Consolas" w:hAnsi="Consolas"/>
          <w:sz w:val="18"/>
        </w:rPr>
        <w:t>Schedule setting:   (not set)                      ← taskflow value used</w:t>
      </w:r>
    </w:p>
    <w:p>
      <w:pPr>
        <w:pStyle w:val="NoSpacing"/>
        <w:shd w:fill="F5F5F5" w:val="clear"/>
        <w:ind w:left="432"/>
      </w:pPr>
      <w:r>
        <w:rPr>
          <w:rFonts w:ascii="Consolas" w:hAnsi="Consolas"/>
          <w:sz w:val="18"/>
        </w:rPr>
        <w:t>API override:       $$DB_SCHEMA = 'PRD_DW'       ← highest priority, wins</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Result: $$DB_SCHEMA = 'PRD_DW'</w:t>
      </w:r>
    </w:p>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Avoid defining the same parameter at more than two levels in the hierarchy. Excessive layering makes it difficult to predict the resolved value and complicates debugging.</w:t>
      </w:r>
    </w:p>
    <w:p/>
    <w:p>
      <w:pPr>
        <w:pStyle w:val="Heading1"/>
      </w:pPr>
      <w:r>
        <w:t>5. Environment-Specific Parameters</w:t>
      </w:r>
    </w:p>
    <w:p>
      <w:r>
        <w:t>Environment-specific parameters isolate configuration that differs between DEV, QA, UAT, and PRD. These must never be hardcoded in mapping logic.</w:t>
      </w:r>
    </w:p>
    <w:p>
      <w:pPr>
        <w:pStyle w:val="Heading2"/>
      </w:pPr>
      <w:r>
        <w:t>5.1 Common Environment-Specific Parameters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Parameter</w:t>
            </w:r>
          </w:p>
        </w:tc>
        <w:tc>
          <w:tcPr>
            <w:tcW w:type="dxa" w:w="2351"/>
            <w:shd w:fill="0C548A" w:val="clear"/>
          </w:tcPr>
          <w:p>
            <w:r>
              <w:rPr>
                <w:b/>
                <w:color w:val="FFFFFF"/>
                <w:sz w:val="20"/>
              </w:rPr>
              <w:t>DEV Value</w:t>
            </w:r>
          </w:p>
        </w:tc>
        <w:tc>
          <w:tcPr>
            <w:tcW w:type="dxa" w:w="2351"/>
            <w:shd w:fill="0C548A" w:val="clear"/>
          </w:tcPr>
          <w:p>
            <w:r>
              <w:rPr>
                <w:b/>
                <w:color w:val="FFFFFF"/>
                <w:sz w:val="20"/>
              </w:rPr>
              <w:t>QA Value</w:t>
            </w:r>
          </w:p>
        </w:tc>
        <w:tc>
          <w:tcPr>
            <w:tcW w:type="dxa" w:w="2351"/>
            <w:shd w:fill="0C548A" w:val="clear"/>
          </w:tcPr>
          <w:p>
            <w:r>
              <w:rPr>
                <w:b/>
                <w:color w:val="FFFFFF"/>
                <w:sz w:val="20"/>
              </w:rPr>
              <w:t>PRD Value</w:t>
            </w:r>
          </w:p>
        </w:tc>
      </w:tr>
      <w:tr>
        <w:tc>
          <w:tcPr>
            <w:tcW w:type="dxa" w:w="2351"/>
          </w:tcPr>
          <w:p>
            <w:r>
              <w:rPr>
                <w:sz w:val="20"/>
              </w:rPr>
              <w:t>$$DB_SCHEMA</w:t>
            </w:r>
          </w:p>
        </w:tc>
        <w:tc>
          <w:tcPr>
            <w:tcW w:type="dxa" w:w="2351"/>
          </w:tcPr>
          <w:p>
            <w:r>
              <w:rPr>
                <w:sz w:val="20"/>
              </w:rPr>
              <w:t>DEV_DW</w:t>
            </w:r>
          </w:p>
        </w:tc>
        <w:tc>
          <w:tcPr>
            <w:tcW w:type="dxa" w:w="2351"/>
          </w:tcPr>
          <w:p>
            <w:r>
              <w:rPr>
                <w:sz w:val="20"/>
              </w:rPr>
              <w:t>QA_DW</w:t>
            </w:r>
          </w:p>
        </w:tc>
        <w:tc>
          <w:tcPr>
            <w:tcW w:type="dxa" w:w="2351"/>
          </w:tcPr>
          <w:p>
            <w:r>
              <w:rPr>
                <w:sz w:val="20"/>
              </w:rPr>
              <w:t>PRD_DW</w:t>
            </w:r>
          </w:p>
        </w:tc>
      </w:tr>
      <w:tr>
        <w:tc>
          <w:tcPr>
            <w:tcW w:type="dxa" w:w="2351"/>
            <w:shd w:fill="F4F6FA" w:val="clear"/>
          </w:tcPr>
          <w:p>
            <w:r>
              <w:rPr>
                <w:sz w:val="20"/>
              </w:rPr>
              <w:t>$$API_ENDPOINT</w:t>
            </w:r>
          </w:p>
        </w:tc>
        <w:tc>
          <w:tcPr>
            <w:tcW w:type="dxa" w:w="2351"/>
            <w:shd w:fill="F4F6FA" w:val="clear"/>
          </w:tcPr>
          <w:p>
            <w:r>
              <w:rPr>
                <w:sz w:val="20"/>
              </w:rPr>
              <w:t>https://api-dev.example.com</w:t>
            </w:r>
          </w:p>
        </w:tc>
        <w:tc>
          <w:tcPr>
            <w:tcW w:type="dxa" w:w="2351"/>
            <w:shd w:fill="F4F6FA" w:val="clear"/>
          </w:tcPr>
          <w:p>
            <w:r>
              <w:rPr>
                <w:sz w:val="20"/>
              </w:rPr>
              <w:t>https://api-qa.example.com</w:t>
            </w:r>
          </w:p>
        </w:tc>
        <w:tc>
          <w:tcPr>
            <w:tcW w:type="dxa" w:w="2351"/>
            <w:shd w:fill="F4F6FA" w:val="clear"/>
          </w:tcPr>
          <w:p>
            <w:r>
              <w:rPr>
                <w:sz w:val="20"/>
              </w:rPr>
              <w:t>https://api.example.com</w:t>
            </w:r>
          </w:p>
        </w:tc>
      </w:tr>
      <w:tr>
        <w:tc>
          <w:tcPr>
            <w:tcW w:type="dxa" w:w="2351"/>
          </w:tcPr>
          <w:p>
            <w:r>
              <w:rPr>
                <w:sz w:val="20"/>
              </w:rPr>
              <w:t>$$FILE_PATH</w:t>
            </w:r>
          </w:p>
        </w:tc>
        <w:tc>
          <w:tcPr>
            <w:tcW w:type="dxa" w:w="2351"/>
          </w:tcPr>
          <w:p>
            <w:r>
              <w:rPr>
                <w:sz w:val="20"/>
              </w:rPr>
              <w:t>/data/dev/incoming/</w:t>
            </w:r>
          </w:p>
        </w:tc>
        <w:tc>
          <w:tcPr>
            <w:tcW w:type="dxa" w:w="2351"/>
          </w:tcPr>
          <w:p>
            <w:r>
              <w:rPr>
                <w:sz w:val="20"/>
              </w:rPr>
              <w:t>/data/qa/incoming/</w:t>
            </w:r>
          </w:p>
        </w:tc>
        <w:tc>
          <w:tcPr>
            <w:tcW w:type="dxa" w:w="2351"/>
          </w:tcPr>
          <w:p>
            <w:r>
              <w:rPr>
                <w:sz w:val="20"/>
              </w:rPr>
              <w:t>/data/prd/incoming/</w:t>
            </w:r>
          </w:p>
        </w:tc>
      </w:tr>
      <w:tr>
        <w:tc>
          <w:tcPr>
            <w:tcW w:type="dxa" w:w="2351"/>
            <w:shd w:fill="F4F6FA" w:val="clear"/>
          </w:tcPr>
          <w:p>
            <w:r>
              <w:rPr>
                <w:sz w:val="20"/>
              </w:rPr>
              <w:t>$$BATCH_SIZE</w:t>
            </w:r>
          </w:p>
        </w:tc>
        <w:tc>
          <w:tcPr>
            <w:tcW w:type="dxa" w:w="2351"/>
            <w:shd w:fill="F4F6FA" w:val="clear"/>
          </w:tcPr>
          <w:p>
            <w:r>
              <w:rPr>
                <w:sz w:val="20"/>
              </w:rPr>
              <w:t>1000</w:t>
            </w:r>
          </w:p>
        </w:tc>
        <w:tc>
          <w:tcPr>
            <w:tcW w:type="dxa" w:w="2351"/>
            <w:shd w:fill="F4F6FA" w:val="clear"/>
          </w:tcPr>
          <w:p>
            <w:r>
              <w:rPr>
                <w:sz w:val="20"/>
              </w:rPr>
              <w:t>10000</w:t>
            </w:r>
          </w:p>
        </w:tc>
        <w:tc>
          <w:tcPr>
            <w:tcW w:type="dxa" w:w="2351"/>
            <w:shd w:fill="F4F6FA" w:val="clear"/>
          </w:tcPr>
          <w:p>
            <w:r>
              <w:rPr>
                <w:sz w:val="20"/>
              </w:rPr>
              <w:t>50000</w:t>
            </w:r>
          </w:p>
        </w:tc>
      </w:tr>
      <w:tr>
        <w:tc>
          <w:tcPr>
            <w:tcW w:type="dxa" w:w="2351"/>
          </w:tcPr>
          <w:p>
            <w:r>
              <w:rPr>
                <w:sz w:val="20"/>
              </w:rPr>
              <w:t>$$LOG_LEVEL</w:t>
            </w:r>
          </w:p>
        </w:tc>
        <w:tc>
          <w:tcPr>
            <w:tcW w:type="dxa" w:w="2351"/>
          </w:tcPr>
          <w:p>
            <w:r>
              <w:rPr>
                <w:sz w:val="20"/>
              </w:rPr>
              <w:t>DEBUG</w:t>
            </w:r>
          </w:p>
        </w:tc>
        <w:tc>
          <w:tcPr>
            <w:tcW w:type="dxa" w:w="2351"/>
          </w:tcPr>
          <w:p>
            <w:r>
              <w:rPr>
                <w:sz w:val="20"/>
              </w:rPr>
              <w:t>INFO</w:t>
            </w:r>
          </w:p>
        </w:tc>
        <w:tc>
          <w:tcPr>
            <w:tcW w:type="dxa" w:w="2351"/>
          </w:tcPr>
          <w:p>
            <w:r>
              <w:rPr>
                <w:sz w:val="20"/>
              </w:rPr>
              <w:t>WARN</w:t>
            </w:r>
          </w:p>
        </w:tc>
      </w:tr>
      <w:tr>
        <w:tc>
          <w:tcPr>
            <w:tcW w:type="dxa" w:w="2351"/>
            <w:shd w:fill="F4F6FA" w:val="clear"/>
          </w:tcPr>
          <w:p>
            <w:r>
              <w:rPr>
                <w:sz w:val="20"/>
              </w:rPr>
              <w:t>$$EMAIL_RECIPIENTS</w:t>
            </w:r>
          </w:p>
        </w:tc>
        <w:tc>
          <w:tcPr>
            <w:tcW w:type="dxa" w:w="2351"/>
            <w:shd w:fill="F4F6FA" w:val="clear"/>
          </w:tcPr>
          <w:p>
            <w:r>
              <w:rPr>
                <w:sz w:val="20"/>
              </w:rPr>
              <w:t>dev-team@mastech.com</w:t>
            </w:r>
          </w:p>
        </w:tc>
        <w:tc>
          <w:tcPr>
            <w:tcW w:type="dxa" w:w="2351"/>
            <w:shd w:fill="F4F6FA" w:val="clear"/>
          </w:tcPr>
          <w:p>
            <w:r>
              <w:rPr>
                <w:sz w:val="20"/>
              </w:rPr>
              <w:t>qa-team@mastech.com</w:t>
            </w:r>
          </w:p>
        </w:tc>
        <w:tc>
          <w:tcPr>
            <w:tcW w:type="dxa" w:w="2351"/>
            <w:shd w:fill="F4F6FA" w:val="clear"/>
          </w:tcPr>
          <w:p>
            <w:r>
              <w:rPr>
                <w:sz w:val="20"/>
              </w:rPr>
              <w:t>ops-team@mastech.com</w:t>
            </w:r>
          </w:p>
        </w:tc>
      </w:tr>
    </w:tbl>
    <w:p/>
    <w:p>
      <w:pPr>
        <w:pStyle w:val="Heading2"/>
      </w:pPr>
      <w:r>
        <w:t>5.2 Environment Isolation Rules</w:t>
      </w:r>
    </w:p>
    <w:p>
      <w:pPr>
        <w:pStyle w:val="ListBullet"/>
      </w:pPr>
      <w:r>
        <w:t>DEV and QA environments must never reference production data sources</w:t>
      </w:r>
    </w:p>
    <w:p>
      <w:pPr>
        <w:pStyle w:val="ListBullet"/>
      </w:pPr>
      <w:r>
        <w:t>Production credentials must not be accessible in non-production environments</w:t>
      </w:r>
    </w:p>
    <w:p>
      <w:pPr>
        <w:pStyle w:val="ListBullet"/>
      </w:pPr>
      <w:r>
        <w:t>Use data masking for test environments that mirror production data structures</w:t>
      </w:r>
    </w:p>
    <w:p>
      <w:pPr>
        <w:pStyle w:val="ListBullet"/>
      </w:pPr>
      <w:r>
        <w:t>Maintain separate Secure Agent groups per environment for complete isolation</w:t>
      </w:r>
    </w:p>
    <w:p>
      <w:r>
        <w:br w:type="page"/>
      </w:r>
    </w:p>
    <w:p>
      <w:pPr>
        <w:pStyle w:val="Heading1"/>
      </w:pPr>
      <w:r>
        <w:t>6. Secure Parameters</w:t>
      </w:r>
    </w:p>
    <w:p>
      <w:r>
        <w:t>Secure parameters protect sensitive values such as passwords, API tokens, and encryption keys. IICS encrypts secure parameters at rest and in transit.</w:t>
      </w:r>
    </w:p>
    <w:p>
      <w:pPr>
        <w:pStyle w:val="Heading2"/>
      </w:pPr>
      <w:r>
        <w:t>6.1 Secure Parameter Types</w:t>
      </w:r>
    </w:p>
    <w:p>
      <w:pPr>
        <w:pStyle w:val="ListBullet"/>
      </w:pPr>
      <w:r>
        <w:t>Connection credentials: database passwords, SFTP keys, API tokens</w:t>
      </w:r>
    </w:p>
    <w:p>
      <w:pPr>
        <w:pStyle w:val="ListBullet"/>
      </w:pPr>
      <w:r>
        <w:t>Encryption keys: data encryption/decryption keys used in transformations</w:t>
      </w:r>
    </w:p>
    <w:p>
      <w:pPr>
        <w:pStyle w:val="ListBullet"/>
      </w:pPr>
      <w:r>
        <w:t>Service account tokens: OAuth tokens, JWT secrets for API authentication</w:t>
      </w:r>
    </w:p>
    <w:p>
      <w:pPr>
        <w:pStyle w:val="ListBullet"/>
      </w:pPr>
      <w:r>
        <w:t>Cloud storage keys: AWS access keys, Azure storage account keys</w:t>
      </w:r>
    </w:p>
    <w:p>
      <w:pPr>
        <w:pStyle w:val="Heading2"/>
      </w:pPr>
      <w:r>
        <w:t>6.2 Secure Parameter Best Practices</w:t>
      </w:r>
    </w:p>
    <w:p>
      <w:pPr>
        <w:pStyle w:val="ListNumber"/>
      </w:pPr>
      <w:r>
        <w:t>Always mark password and token parameters as 'Secure' in the IICS parameter set UI</w:t>
      </w:r>
    </w:p>
    <w:p>
      <w:pPr>
        <w:pStyle w:val="ListNumber"/>
      </w:pPr>
      <w:r>
        <w:t>Rotate secure parameter values on a regular schedule (minimum quarterly)</w:t>
      </w:r>
    </w:p>
    <w:p>
      <w:pPr>
        <w:pStyle w:val="ListNumber"/>
      </w:pPr>
      <w:r>
        <w:t>Use Informatica vault integration or external secrets manager (HashiCorp Vault, AWS Secrets Manager)</w:t>
      </w:r>
    </w:p>
    <w:p>
      <w:pPr>
        <w:pStyle w:val="ListNumber"/>
      </w:pPr>
      <w:r>
        <w:t>Audit access to secure parameters through IICS audit logs</w:t>
      </w:r>
    </w:p>
    <w:p>
      <w:pPr>
        <w:pStyle w:val="ListNumber"/>
      </w:pPr>
      <w:r>
        <w:t>Never log, print, or expose secure parameter values in session logs or error tables</w:t>
      </w:r>
    </w:p>
    <w:p>
      <w:pPr>
        <w:shd w:fill="FFEBEE" w:val="clear"/>
        <w:pBdr>
          <w:top w:val="single" w:sz="4" w:space="4" w:color="F44336"/>
          <w:left w:val="single" w:sz="12" w:space="4" w:color="F44336"/>
          <w:right w:val="single" w:sz="4" w:space="4" w:color="F44336"/>
        </w:pBdr>
        <w:spacing w:after="0"/>
        <w:ind w:left="432" w:right="432"/>
      </w:pPr>
      <w:r>
        <w:rPr>
          <w:b/>
          <w:color w:val="F44336"/>
          <w:sz w:val="20"/>
        </w:rPr>
        <w:t xml:space="preserve">  CRITICAL</w:t>
      </w:r>
    </w:p>
    <w:p>
      <w:pPr>
        <w:shd w:fill="FFEBEE" w:val="clear"/>
        <w:pBdr>
          <w:bottom w:val="single" w:sz="4" w:space="4" w:color="F44336"/>
          <w:left w:val="single" w:sz="12" w:space="4" w:color="F44336"/>
          <w:right w:val="single" w:sz="4" w:space="4" w:color="F44336"/>
        </w:pBdr>
        <w:spacing w:before="0"/>
        <w:ind w:left="432" w:right="432"/>
      </w:pPr>
      <w:r>
        <w:rPr>
          <w:color w:val="4B5563"/>
          <w:sz w:val="20"/>
        </w:rPr>
        <w:t xml:space="preserve">  Secure parameters must NEVER be stored in parameter files, committed to source control, or transmitted via email. Use IICS parameter sets with the 'Secure' flag or integrate with an external secrets management solution.</w:t>
      </w:r>
    </w:p>
    <w:p/>
    <w:p>
      <w:pPr>
        <w:pStyle w:val="Heading1"/>
      </w:pPr>
      <w:r>
        <w:t>7. Dynamic Parameter Values</w:t>
      </w:r>
    </w:p>
    <w:p>
      <w:r>
        <w:t>Dynamic parameters derive their values at runtime rather than being statically configured. They enable data-driven pipeline behavior.</w:t>
      </w:r>
    </w:p>
    <w:p>
      <w:pPr>
        <w:pStyle w:val="Heading2"/>
      </w:pPr>
      <w:r>
        <w:t>7.1 Dynamic Parameter Patterns</w:t>
      </w:r>
    </w:p>
    <w:p>
      <w:pPr>
        <w:pStyle w:val="ListBullet"/>
      </w:pPr>
      <w:r>
        <w:t>Date-based: current date computed at runtime for incremental processing windows</w:t>
      </w:r>
    </w:p>
    <w:p>
      <w:pPr>
        <w:pStyle w:val="ListBullet"/>
      </w:pPr>
      <w:r>
        <w:t>Lookup-based: parameter value retrieved from a control table at pipeline start</w:t>
      </w:r>
    </w:p>
    <w:p>
      <w:pPr>
        <w:pStyle w:val="ListBullet"/>
      </w:pPr>
      <w:r>
        <w:t>API-driven: parameter value fetched from an external configuration service</w:t>
      </w:r>
    </w:p>
    <w:p>
      <w:pPr>
        <w:pStyle w:val="ListBullet"/>
      </w:pPr>
      <w:r>
        <w:t>Calculated: parameter derived from output of a preceding taskflow step</w:t>
      </w:r>
    </w:p>
    <w:p>
      <w:pPr>
        <w:pStyle w:val="Heading2"/>
      </w:pPr>
      <w:r>
        <w:t>7.2 Dynamic Date Parameter Example</w:t>
      </w:r>
    </w:p>
    <w:p>
      <w:pPr>
        <w:pStyle w:val="NoSpacing"/>
        <w:shd w:fill="F5F5F5" w:val="clear"/>
        <w:ind w:left="432"/>
      </w:pPr>
      <w:r>
        <w:rPr>
          <w:rFonts w:ascii="Consolas" w:hAnsi="Consolas"/>
          <w:sz w:val="18"/>
        </w:rPr>
        <w:t>-- Taskflow assignment step: compute incremental load window</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$$LOAD_START_DATE = LAST_SUCCESSFUL_RUN_DATE  -- from control table</w:t>
      </w:r>
    </w:p>
    <w:p>
      <w:pPr>
        <w:pStyle w:val="NoSpacing"/>
        <w:shd w:fill="F5F5F5" w:val="clear"/>
        <w:ind w:left="432"/>
      </w:pPr>
      <w:r>
        <w:rPr>
          <w:rFonts w:ascii="Consolas" w:hAnsi="Consolas"/>
          <w:sz w:val="18"/>
        </w:rPr>
        <w:t>$$LOAD_END_DATE   = SYSDATE</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Mapping source filter uses these parameters:</w:t>
      </w:r>
    </w:p>
    <w:p>
      <w:pPr>
        <w:pStyle w:val="NoSpacing"/>
        <w:shd w:fill="F5F5F5" w:val="clear"/>
        <w:ind w:left="432"/>
      </w:pPr>
      <w:r>
        <w:rPr>
          <w:rFonts w:ascii="Consolas" w:hAnsi="Consolas"/>
          <w:sz w:val="18"/>
        </w:rPr>
        <w:t>WHERE modified_date BETWEEN '$$LOAD_START_DATE' AND '$$LOAD_END_DATE'</w:t>
      </w:r>
    </w:p>
    <w:p/>
    <w:p>
      <w:r>
        <w:br w:type="page"/>
      </w:r>
    </w:p>
    <w:p>
      <w:pPr>
        <w:pStyle w:val="Heading1"/>
      </w:pPr>
      <w:r>
        <w:t>8. Parameter Naming Conventions</w:t>
      </w:r>
    </w:p>
    <w:p>
      <w:r>
        <w:t>Consistent parameter naming improves readability and reduces configuration errors. All parameters must follow the naming standard below.</w:t>
      </w:r>
    </w:p>
    <w:p>
      <w:pPr>
        <w:pStyle w:val="Heading2"/>
      </w:pPr>
      <w:r>
        <w:t>8.1 Naming Rules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Rule</w:t>
            </w:r>
          </w:p>
        </w:tc>
        <w:tc>
          <w:tcPr>
            <w:tcW w:type="dxa" w:w="3135"/>
            <w:shd w:fill="0C548A" w:val="clear"/>
          </w:tcPr>
          <w:p>
            <w:r>
              <w:rPr>
                <w:b/>
                <w:color w:val="FFFFFF"/>
                <w:sz w:val="20"/>
              </w:rPr>
              <w:t>Convention</w:t>
            </w:r>
          </w:p>
        </w:tc>
        <w:tc>
          <w:tcPr>
            <w:tcW w:type="dxa" w:w="3135"/>
            <w:shd w:fill="0C548A" w:val="clear"/>
          </w:tcPr>
          <w:p>
            <w:r>
              <w:rPr>
                <w:b/>
                <w:color w:val="FFFFFF"/>
                <w:sz w:val="20"/>
              </w:rPr>
              <w:t>Example</w:t>
            </w:r>
          </w:p>
        </w:tc>
      </w:tr>
      <w:tr>
        <w:tc>
          <w:tcPr>
            <w:tcW w:type="dxa" w:w="3135"/>
          </w:tcPr>
          <w:p>
            <w:r>
              <w:rPr>
                <w:sz w:val="20"/>
              </w:rPr>
              <w:t>Prefix</w:t>
            </w:r>
          </w:p>
        </w:tc>
        <w:tc>
          <w:tcPr>
            <w:tcW w:type="dxa" w:w="3135"/>
          </w:tcPr>
          <w:p>
            <w:r>
              <w:rPr>
                <w:sz w:val="20"/>
              </w:rPr>
              <w:t>Use $$ prefix for all user-defined parameters</w:t>
            </w:r>
          </w:p>
        </w:tc>
        <w:tc>
          <w:tcPr>
            <w:tcW w:type="dxa" w:w="3135"/>
          </w:tcPr>
          <w:p>
            <w:r>
              <w:rPr>
                <w:sz w:val="20"/>
              </w:rPr>
              <w:t>$$DB_SCHEMA</w:t>
            </w:r>
          </w:p>
        </w:tc>
      </w:tr>
      <w:tr>
        <w:tc>
          <w:tcPr>
            <w:tcW w:type="dxa" w:w="3135"/>
            <w:shd w:fill="F4F6FA" w:val="clear"/>
          </w:tcPr>
          <w:p>
            <w:r>
              <w:rPr>
                <w:sz w:val="20"/>
              </w:rPr>
              <w:t>Case</w:t>
            </w:r>
          </w:p>
        </w:tc>
        <w:tc>
          <w:tcPr>
            <w:tcW w:type="dxa" w:w="3135"/>
            <w:shd w:fill="F4F6FA" w:val="clear"/>
          </w:tcPr>
          <w:p>
            <w:r>
              <w:rPr>
                <w:sz w:val="20"/>
              </w:rPr>
              <w:t>UPPER_SNAKE_CASE for all parameter names</w:t>
            </w:r>
          </w:p>
        </w:tc>
        <w:tc>
          <w:tcPr>
            <w:tcW w:type="dxa" w:w="3135"/>
            <w:shd w:fill="F4F6FA" w:val="clear"/>
          </w:tcPr>
          <w:p>
            <w:r>
              <w:rPr>
                <w:sz w:val="20"/>
              </w:rPr>
              <w:t>$$SOURCE_FILTER</w:t>
            </w:r>
          </w:p>
        </w:tc>
      </w:tr>
      <w:tr>
        <w:tc>
          <w:tcPr>
            <w:tcW w:type="dxa" w:w="3135"/>
          </w:tcPr>
          <w:p>
            <w:r>
              <w:rPr>
                <w:sz w:val="20"/>
              </w:rPr>
              <w:t>Scope prefix</w:t>
            </w:r>
          </w:p>
        </w:tc>
        <w:tc>
          <w:tcPr>
            <w:tcW w:type="dxa" w:w="3135"/>
          </w:tcPr>
          <w:p>
            <w:r>
              <w:rPr>
                <w:sz w:val="20"/>
              </w:rPr>
              <w:t>Prefix with scope when ambiguity exists</w:t>
            </w:r>
          </w:p>
        </w:tc>
        <w:tc>
          <w:tcPr>
            <w:tcW w:type="dxa" w:w="3135"/>
          </w:tcPr>
          <w:p>
            <w:r>
              <w:rPr>
                <w:sz w:val="20"/>
              </w:rPr>
              <w:t>$$SRC_DB_SCHEMA, $$TGT_DB_SCHEMA</w:t>
            </w:r>
          </w:p>
        </w:tc>
      </w:tr>
      <w:tr>
        <w:tc>
          <w:tcPr>
            <w:tcW w:type="dxa" w:w="3135"/>
            <w:shd w:fill="F4F6FA" w:val="clear"/>
          </w:tcPr>
          <w:p>
            <w:r>
              <w:rPr>
                <w:sz w:val="20"/>
              </w:rPr>
              <w:t>Type suffix</w:t>
            </w:r>
          </w:p>
        </w:tc>
        <w:tc>
          <w:tcPr>
            <w:tcW w:type="dxa" w:w="3135"/>
            <w:shd w:fill="F4F6FA" w:val="clear"/>
          </w:tcPr>
          <w:p>
            <w:r>
              <w:rPr>
                <w:sz w:val="20"/>
              </w:rPr>
              <w:t>Add type suffix for non-obvious types</w:t>
            </w:r>
          </w:p>
        </w:tc>
        <w:tc>
          <w:tcPr>
            <w:tcW w:type="dxa" w:w="3135"/>
            <w:shd w:fill="F4F6FA" w:val="clear"/>
          </w:tcPr>
          <w:p>
            <w:r>
              <w:rPr>
                <w:sz w:val="20"/>
              </w:rPr>
              <w:t>$$START_DATE_DT, $$ROW_LIMIT_INT</w:t>
            </w:r>
          </w:p>
        </w:tc>
      </w:tr>
      <w:tr>
        <w:tc>
          <w:tcPr>
            <w:tcW w:type="dxa" w:w="3135"/>
          </w:tcPr>
          <w:p>
            <w:r>
              <w:rPr>
                <w:sz w:val="20"/>
              </w:rPr>
              <w:t>Connection prefix</w:t>
            </w:r>
          </w:p>
        </w:tc>
        <w:tc>
          <w:tcPr>
            <w:tcW w:type="dxa" w:w="3135"/>
          </w:tcPr>
          <w:p>
            <w:r>
              <w:rPr>
                <w:sz w:val="20"/>
              </w:rPr>
              <w:t>Use CONN_ prefix for connection parameters</w:t>
            </w:r>
          </w:p>
        </w:tc>
        <w:tc>
          <w:tcPr>
            <w:tcW w:type="dxa" w:w="3135"/>
          </w:tcPr>
          <w:p>
            <w:r>
              <w:rPr>
                <w:sz w:val="20"/>
              </w:rPr>
              <w:t>$$CONN_ORACLE_HR</w:t>
            </w:r>
          </w:p>
        </w:tc>
      </w:tr>
      <w:tr>
        <w:tc>
          <w:tcPr>
            <w:tcW w:type="dxa" w:w="3135"/>
            <w:shd w:fill="F4F6FA" w:val="clear"/>
          </w:tcPr>
          <w:p>
            <w:r>
              <w:rPr>
                <w:sz w:val="20"/>
              </w:rPr>
              <w:t>Boolean naming</w:t>
            </w:r>
          </w:p>
        </w:tc>
        <w:tc>
          <w:tcPr>
            <w:tcW w:type="dxa" w:w="3135"/>
            <w:shd w:fill="F4F6FA" w:val="clear"/>
          </w:tcPr>
          <w:p>
            <w:r>
              <w:rPr>
                <w:sz w:val="20"/>
              </w:rPr>
              <w:t>Use IS_ or HAS_ prefix for boolean parameters</w:t>
            </w:r>
          </w:p>
        </w:tc>
        <w:tc>
          <w:tcPr>
            <w:tcW w:type="dxa" w:w="3135"/>
            <w:shd w:fill="F4F6FA" w:val="clear"/>
          </w:tcPr>
          <w:p>
            <w:r>
              <w:rPr>
                <w:sz w:val="20"/>
              </w:rPr>
              <w:t>$$IS_FULL_LOAD, $$HAS_HEADER</w:t>
            </w:r>
          </w:p>
        </w:tc>
      </w:tr>
    </w:tbl>
    <w:p/>
    <w:p>
      <w:pPr>
        <w:pStyle w:val="Heading2"/>
      </w:pPr>
      <w:r>
        <w:t>8.2 Naming Anti-Patterns</w:t>
      </w:r>
    </w:p>
    <w:p>
      <w:pPr>
        <w:pStyle w:val="ListBullet"/>
      </w:pPr>
      <w:r>
        <w:t>Avoid: $$p1, $$param, $$x — these convey no meaning</w:t>
      </w:r>
    </w:p>
    <w:p>
      <w:pPr>
        <w:pStyle w:val="ListBullet"/>
      </w:pPr>
      <w:r>
        <w:t>Avoid: $$DatabaseSchemaName — use UPPER_SNAKE_CASE instead of camelCase</w:t>
      </w:r>
    </w:p>
    <w:p>
      <w:pPr>
        <w:pStyle w:val="ListBullet"/>
      </w:pPr>
      <w:r>
        <w:t>Avoid: $$SCHEMA — too generic; add context: $$SRC_SCHEMA, $$TGT_SCHEMA</w:t>
      </w:r>
    </w:p>
    <w:p>
      <w:pPr>
        <w:pStyle w:val="ListBullet"/>
      </w:pPr>
      <w:r>
        <w:t>Avoid: $$my_temp_param — remove 'my' and 'temp'; parameters should be purposeful</w:t>
      </w:r>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Parameter names should be self-documenting. A developer reading $$TGT_DB_SCHEMA_PRD immediately understands the purpose without consulting documentation.</w:t>
      </w:r>
    </w:p>
    <w:p/>
    <w:p>
      <w:pPr>
        <w:pStyle w:val="Heading1"/>
      </w:pPr>
      <w:r>
        <w:t>9. Parameterization Patterns</w:t>
      </w:r>
    </w:p>
    <w:p>
      <w:r>
        <w:t>The following patterns represent proven approaches to common parameterization challenges in IICS. Apply these patterns consistently across projects.</w:t>
      </w:r>
    </w:p>
    <w:p>
      <w:pPr>
        <w:pStyle w:val="Heading2"/>
      </w:pPr>
      <w:r>
        <w:t>9.1 Source/Target Swap Pattern</w:t>
      </w:r>
    </w:p>
    <w:p>
      <w:r>
        <w:t>Use connection parameters to swap source and target systems without modifying mapping logic. This enables reuse across systems with identical schemas.</w:t>
      </w:r>
    </w:p>
    <w:p>
      <w:pPr>
        <w:pStyle w:val="NoSpacing"/>
        <w:shd w:fill="F5F5F5" w:val="clear"/>
        <w:ind w:left="432"/>
      </w:pPr>
      <w:r>
        <w:rPr>
          <w:rFonts w:ascii="Consolas" w:hAnsi="Consolas"/>
          <w:sz w:val="18"/>
        </w:rPr>
        <w:t># Source/Target Swap via connection parameters</w:t>
      </w:r>
    </w:p>
    <w:p>
      <w:pPr>
        <w:pStyle w:val="NoSpacing"/>
        <w:shd w:fill="F5F5F5" w:val="clear"/>
        <w:ind w:left="432"/>
      </w:pPr>
      <w:r>
        <w:rPr>
          <w:rFonts w:ascii="Consolas" w:hAnsi="Consolas"/>
          <w:sz w:val="18"/>
        </w:rPr>
        <w:t>Mapping: m_Generic_CustomerSync</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xml:space="preserve">  Connection Parameter: $$CONN_SOURCE → conn_JDBC_DEV_SystemA (DEV)</w:t>
      </w:r>
    </w:p>
    <w:p>
      <w:pPr>
        <w:pStyle w:val="NoSpacing"/>
        <w:shd w:fill="F5F5F5" w:val="clear"/>
        <w:ind w:left="432"/>
      </w:pPr>
      <w:r>
        <w:rPr>
          <w:rFonts w:ascii="Consolas" w:hAnsi="Consolas"/>
          <w:sz w:val="18"/>
        </w:rPr>
        <w:t xml:space="preserve">                                      → conn_JDBC_PRD_SystemB (PRD)</w:t>
      </w:r>
    </w:p>
    <w:p>
      <w:pPr>
        <w:pStyle w:val="NoSpacing"/>
        <w:shd w:fill="F5F5F5" w:val="clear"/>
        <w:ind w:left="432"/>
      </w:pPr>
      <w:r>
        <w:rPr>
          <w:rFonts w:ascii="Consolas" w:hAnsi="Consolas"/>
          <w:sz w:val="18"/>
        </w:rPr>
        <w:t xml:space="preserve">  Connection Parameter: $$CONN_TARGET → conn_JDBC_DEV_DW     (DEV)</w:t>
      </w:r>
    </w:p>
    <w:p>
      <w:pPr>
        <w:pStyle w:val="NoSpacing"/>
        <w:shd w:fill="F5F5F5" w:val="clear"/>
        <w:ind w:left="432"/>
      </w:pPr>
      <w:r>
        <w:rPr>
          <w:rFonts w:ascii="Consolas" w:hAnsi="Consolas"/>
          <w:sz w:val="18"/>
        </w:rPr>
        <w:t xml:space="preserve">                                      → conn_JDBC_PRD_DW     (PRD)</w:t>
      </w:r>
    </w:p>
    <w:p/>
    <w:p>
      <w:pPr>
        <w:pStyle w:val="Heading2"/>
      </w:pPr>
      <w:r>
        <w:t>9.2 Schema Swap Pattern</w:t>
      </w:r>
    </w:p>
    <w:p>
      <w:r>
        <w:t>Parameterize schema names to enable the same mapping to operate across environments without modification.</w:t>
      </w:r>
    </w:p>
    <w:p>
      <w:pPr>
        <w:pStyle w:val="NoSpacing"/>
        <w:shd w:fill="F5F5F5" w:val="clear"/>
        <w:ind w:left="432"/>
      </w:pPr>
      <w:r>
        <w:rPr>
          <w:rFonts w:ascii="Consolas" w:hAnsi="Consolas"/>
          <w:sz w:val="18"/>
        </w:rPr>
        <w:t># Schema swap via input parameters</w:t>
      </w:r>
    </w:p>
    <w:p>
      <w:pPr>
        <w:pStyle w:val="NoSpacing"/>
        <w:shd w:fill="F5F5F5" w:val="clear"/>
        <w:ind w:left="432"/>
      </w:pPr>
      <w:r>
        <w:rPr>
          <w:rFonts w:ascii="Consolas" w:hAnsi="Consolas"/>
          <w:sz w:val="18"/>
        </w:rPr>
        <w:t>$$SRC_SCHEMA = 'DEV_SALES'   (DEV)  /  'PRD_SALES'   (PRD)</w:t>
      </w:r>
    </w:p>
    <w:p>
      <w:pPr>
        <w:pStyle w:val="NoSpacing"/>
        <w:shd w:fill="F5F5F5" w:val="clear"/>
        <w:ind w:left="432"/>
      </w:pPr>
      <w:r>
        <w:rPr>
          <w:rFonts w:ascii="Consolas" w:hAnsi="Consolas"/>
          <w:sz w:val="18"/>
        </w:rPr>
        <w:t>$$TGT_SCHEMA = 'DEV_DW'      (DEV)  /  'PRD_DW'      (PRD)</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Source qualifier references:</w:t>
      </w:r>
    </w:p>
    <w:p>
      <w:pPr>
        <w:pStyle w:val="NoSpacing"/>
        <w:shd w:fill="F5F5F5" w:val="clear"/>
        <w:ind w:left="432"/>
      </w:pPr>
      <w:r>
        <w:rPr>
          <w:rFonts w:ascii="Consolas" w:hAnsi="Consolas"/>
          <w:sz w:val="18"/>
        </w:rPr>
        <w:t>SELECT * FROM $$SRC_SCHEMA.orders WHERE order_date &gt;= '$$LOAD_START_DATE'</w:t>
      </w:r>
    </w:p>
    <w:p/>
    <w:p>
      <w:pPr>
        <w:pStyle w:val="Heading2"/>
      </w:pPr>
      <w:r>
        <w:t>9.3 Filter Condition Pattern</w:t>
      </w:r>
    </w:p>
    <w:p>
      <w:r>
        <w:t>Parameterize WHERE clause conditions to enable flexible data subsetting for testing, incremental loads, and ad-hoc reprocessing.</w:t>
      </w:r>
    </w:p>
    <w:p>
      <w:pPr>
        <w:pStyle w:val="NoSpacing"/>
        <w:shd w:fill="F5F5F5" w:val="clear"/>
        <w:ind w:left="432"/>
      </w:pPr>
      <w:r>
        <w:rPr>
          <w:rFonts w:ascii="Consolas" w:hAnsi="Consolas"/>
          <w:sz w:val="18"/>
        </w:rPr>
        <w:t># Filter condition parameter</w:t>
      </w:r>
    </w:p>
    <w:p>
      <w:pPr>
        <w:pStyle w:val="NoSpacing"/>
        <w:shd w:fill="F5F5F5" w:val="clear"/>
        <w:ind w:left="432"/>
      </w:pPr>
      <w:r>
        <w:rPr>
          <w:rFonts w:ascii="Consolas" w:hAnsi="Consolas"/>
          <w:sz w:val="18"/>
        </w:rPr>
        <w:t>$$SOURCE_FILTER = 'region = ''EMEA'' AND order_date &gt;= ''2026-01-01'''</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Mapping source qualifier:</w:t>
      </w:r>
    </w:p>
    <w:p>
      <w:pPr>
        <w:pStyle w:val="NoSpacing"/>
        <w:shd w:fill="F5F5F5" w:val="clear"/>
        <w:ind w:left="432"/>
      </w:pPr>
      <w:r>
        <w:rPr>
          <w:rFonts w:ascii="Consolas" w:hAnsi="Consolas"/>
          <w:sz w:val="18"/>
        </w:rPr>
        <w:t>SELECT * FROM sales.orders WHERE $$SOURCE_FILTER</w:t>
      </w:r>
    </w:p>
    <w:p/>
    <w:p>
      <w:pPr>
        <w:pStyle w:val="Heading2"/>
      </w:pPr>
      <w:r>
        <w:t>9.4 Connection Swap Pattern</w:t>
      </w:r>
    </w:p>
    <w:p>
      <w:r>
        <w:t>Connection swap enables a single taskflow to target different systems based on runtime configuration — essential for multi-tenant deployments.</w:t>
      </w:r>
    </w:p>
    <w:p>
      <w:pPr>
        <w:pStyle w:val="NoSpacing"/>
        <w:shd w:fill="F5F5F5" w:val="clear"/>
        <w:ind w:left="432"/>
      </w:pPr>
      <w:r>
        <w:rPr>
          <w:rFonts w:ascii="Consolas" w:hAnsi="Consolas"/>
          <w:sz w:val="18"/>
        </w:rPr>
        <w:t># Connection swap at taskflow level</w:t>
      </w:r>
    </w:p>
    <w:p>
      <w:pPr>
        <w:pStyle w:val="NoSpacing"/>
        <w:shd w:fill="F5F5F5" w:val="clear"/>
        <w:ind w:left="432"/>
      </w:pPr>
      <w:r>
        <w:rPr>
          <w:rFonts w:ascii="Consolas" w:hAnsi="Consolas"/>
          <w:sz w:val="18"/>
        </w:rPr>
        <w:t>Taskflow: tf_MultiTenant_CustomerLoad</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xml:space="preserve">  Input Parameter: $$TENANT_ID</w:t>
      </w:r>
    </w:p>
    <w:p>
      <w:pPr>
        <w:pStyle w:val="NoSpacing"/>
        <w:shd w:fill="F5F5F5" w:val="clear"/>
        <w:ind w:left="432"/>
      </w:pPr>
      <w:r>
        <w:rPr>
          <w:rFonts w:ascii="Consolas" w:hAnsi="Consolas"/>
          <w:sz w:val="18"/>
        </w:rPr>
        <w:t xml:space="preserve">  Assignment Step: $$CONN_TARGET = lookup_connection($$TENANT_ID)</w:t>
      </w:r>
    </w:p>
    <w:p>
      <w:pPr>
        <w:pStyle w:val="NoSpacing"/>
        <w:shd w:fill="F5F5F5" w:val="clear"/>
        <w:ind w:left="432"/>
      </w:pPr>
      <w:r>
        <w:rPr>
          <w:rFonts w:ascii="Consolas" w:hAnsi="Consolas"/>
          <w:sz w:val="18"/>
        </w:rPr>
        <w:t xml:space="preserve">  Mapping Step:    m_CustomerLoad with $$CONN_TARGET override</w:t>
      </w:r>
    </w:p>
    <w:p/>
    <w:p>
      <w:r>
        <w:br w:type="page"/>
      </w:r>
    </w:p>
    <w:p>
      <w:pPr>
        <w:pStyle w:val="Heading1"/>
      </w:pPr>
      <w:r>
        <w:t>10. Parameter Management at Scale</w:t>
      </w:r>
    </w:p>
    <w:p>
      <w:r>
        <w:t>As the number of IICS assets grows, manual parameter management becomes a bottleneck. Adopt these practices to manage parameters efficiently at scale.</w:t>
      </w:r>
    </w:p>
    <w:p>
      <w:pPr>
        <w:pStyle w:val="Heading2"/>
      </w:pPr>
      <w:r>
        <w:t>10.1 Centralized Parameter Registry</w:t>
      </w:r>
    </w:p>
    <w:p>
      <w:pPr>
        <w:pStyle w:val="ListBullet"/>
      </w:pPr>
      <w:r>
        <w:t>Maintain a master parameter registry (spreadsheet or database) documenting all parameters</w:t>
      </w:r>
    </w:p>
    <w:p>
      <w:pPr>
        <w:pStyle w:val="ListBullet"/>
      </w:pPr>
      <w:r>
        <w:t>Include: parameter name, type, description, default value, owning pipeline, environments</w:t>
      </w:r>
    </w:p>
    <w:p>
      <w:pPr>
        <w:pStyle w:val="ListBullet"/>
      </w:pPr>
      <w:r>
        <w:t>Assign parameter ownership to specific team members for accountability</w:t>
      </w:r>
    </w:p>
    <w:p>
      <w:pPr>
        <w:pStyle w:val="ListBullet"/>
      </w:pPr>
      <w:r>
        <w:t>Review the registry quarterly to prune unused parameters and update descriptions</w:t>
      </w:r>
    </w:p>
    <w:p>
      <w:pPr>
        <w:pStyle w:val="Heading2"/>
      </w:pPr>
      <w:r>
        <w:t>10.2 Parameter Governance</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Practice</w:t>
            </w:r>
          </w:p>
        </w:tc>
        <w:tc>
          <w:tcPr>
            <w:tcW w:type="dxa" w:w="3135"/>
            <w:shd w:fill="0C548A" w:val="clear"/>
          </w:tcPr>
          <w:p>
            <w:r>
              <w:rPr>
                <w:b/>
                <w:color w:val="FFFFFF"/>
                <w:sz w:val="20"/>
              </w:rPr>
              <w:t>Description</w:t>
            </w:r>
          </w:p>
        </w:tc>
        <w:tc>
          <w:tcPr>
            <w:tcW w:type="dxa" w:w="3135"/>
            <w:shd w:fill="0C548A" w:val="clear"/>
          </w:tcPr>
          <w:p>
            <w:r>
              <w:rPr>
                <w:b/>
                <w:color w:val="FFFFFF"/>
                <w:sz w:val="20"/>
              </w:rPr>
              <w:t>Benefit</w:t>
            </w:r>
          </w:p>
        </w:tc>
      </w:tr>
      <w:tr>
        <w:tc>
          <w:tcPr>
            <w:tcW w:type="dxa" w:w="3135"/>
          </w:tcPr>
          <w:p>
            <w:r>
              <w:rPr>
                <w:sz w:val="20"/>
              </w:rPr>
              <w:t>Naming standards</w:t>
            </w:r>
          </w:p>
        </w:tc>
        <w:tc>
          <w:tcPr>
            <w:tcW w:type="dxa" w:w="3135"/>
          </w:tcPr>
          <w:p>
            <w:r>
              <w:rPr>
                <w:sz w:val="20"/>
              </w:rPr>
              <w:t>Enforce consistent naming via code review</w:t>
            </w:r>
          </w:p>
        </w:tc>
        <w:tc>
          <w:tcPr>
            <w:tcW w:type="dxa" w:w="3135"/>
          </w:tcPr>
          <w:p>
            <w:r>
              <w:rPr>
                <w:sz w:val="20"/>
              </w:rPr>
              <w:t>Reduces confusion and misconfiguration</w:t>
            </w:r>
          </w:p>
        </w:tc>
      </w:tr>
      <w:tr>
        <w:tc>
          <w:tcPr>
            <w:tcW w:type="dxa" w:w="3135"/>
            <w:shd w:fill="F4F6FA" w:val="clear"/>
          </w:tcPr>
          <w:p>
            <w:r>
              <w:rPr>
                <w:sz w:val="20"/>
              </w:rPr>
              <w:t>Change control</w:t>
            </w:r>
          </w:p>
        </w:tc>
        <w:tc>
          <w:tcPr>
            <w:tcW w:type="dxa" w:w="3135"/>
            <w:shd w:fill="F4F6FA" w:val="clear"/>
          </w:tcPr>
          <w:p>
            <w:r>
              <w:rPr>
                <w:sz w:val="20"/>
              </w:rPr>
              <w:t>Parameter changes require PR approval</w:t>
            </w:r>
          </w:p>
        </w:tc>
        <w:tc>
          <w:tcPr>
            <w:tcW w:type="dxa" w:w="3135"/>
            <w:shd w:fill="F4F6FA" w:val="clear"/>
          </w:tcPr>
          <w:p>
            <w:r>
              <w:rPr>
                <w:sz w:val="20"/>
              </w:rPr>
              <w:t>Prevents accidental production impact</w:t>
            </w:r>
          </w:p>
        </w:tc>
      </w:tr>
      <w:tr>
        <w:tc>
          <w:tcPr>
            <w:tcW w:type="dxa" w:w="3135"/>
          </w:tcPr>
          <w:p>
            <w:r>
              <w:rPr>
                <w:sz w:val="20"/>
              </w:rPr>
              <w:t>Value validation</w:t>
            </w:r>
          </w:p>
        </w:tc>
        <w:tc>
          <w:tcPr>
            <w:tcW w:type="dxa" w:w="3135"/>
          </w:tcPr>
          <w:p>
            <w:r>
              <w:rPr>
                <w:sz w:val="20"/>
              </w:rPr>
              <w:t>Validate parameter values before deployment</w:t>
            </w:r>
          </w:p>
        </w:tc>
        <w:tc>
          <w:tcPr>
            <w:tcW w:type="dxa" w:w="3135"/>
          </w:tcPr>
          <w:p>
            <w:r>
              <w:rPr>
                <w:sz w:val="20"/>
              </w:rPr>
              <w:t>Catches typos and invalid values early</w:t>
            </w:r>
          </w:p>
        </w:tc>
      </w:tr>
      <w:tr>
        <w:tc>
          <w:tcPr>
            <w:tcW w:type="dxa" w:w="3135"/>
            <w:shd w:fill="F4F6FA" w:val="clear"/>
          </w:tcPr>
          <w:p>
            <w:r>
              <w:rPr>
                <w:sz w:val="20"/>
              </w:rPr>
              <w:t>Documentation</w:t>
            </w:r>
          </w:p>
        </w:tc>
        <w:tc>
          <w:tcPr>
            <w:tcW w:type="dxa" w:w="3135"/>
            <w:shd w:fill="F4F6FA" w:val="clear"/>
          </w:tcPr>
          <w:p>
            <w:r>
              <w:rPr>
                <w:sz w:val="20"/>
              </w:rPr>
              <w:t>Every parameter has a description in the registry</w:t>
            </w:r>
          </w:p>
        </w:tc>
        <w:tc>
          <w:tcPr>
            <w:tcW w:type="dxa" w:w="3135"/>
            <w:shd w:fill="F4F6FA" w:val="clear"/>
          </w:tcPr>
          <w:p>
            <w:r>
              <w:rPr>
                <w:sz w:val="20"/>
              </w:rPr>
              <w:t>Enables self-service for new developers</w:t>
            </w:r>
          </w:p>
        </w:tc>
      </w:tr>
      <w:tr>
        <w:tc>
          <w:tcPr>
            <w:tcW w:type="dxa" w:w="3135"/>
          </w:tcPr>
          <w:p>
            <w:r>
              <w:rPr>
                <w:sz w:val="20"/>
              </w:rPr>
              <w:t>Deprecation process</w:t>
            </w:r>
          </w:p>
        </w:tc>
        <w:tc>
          <w:tcPr>
            <w:tcW w:type="dxa" w:w="3135"/>
          </w:tcPr>
          <w:p>
            <w:r>
              <w:rPr>
                <w:sz w:val="20"/>
              </w:rPr>
              <w:t>Mark unused parameters as deprecated before removal</w:t>
            </w:r>
          </w:p>
        </w:tc>
        <w:tc>
          <w:tcPr>
            <w:tcW w:type="dxa" w:w="3135"/>
          </w:tcPr>
          <w:p>
            <w:r>
              <w:rPr>
                <w:sz w:val="20"/>
              </w:rPr>
              <w:t>Prevents breaking changes</w:t>
            </w:r>
          </w:p>
        </w:tc>
      </w:tr>
    </w:tbl>
    <w:p/>
    <w:p>
      <w:pPr>
        <w:shd w:fill="F3E5F5" w:val="clear"/>
        <w:pBdr>
          <w:top w:val="single" w:sz="4" w:space="4" w:color="9C27B0"/>
          <w:left w:val="single" w:sz="12" w:space="4" w:color="9C27B0"/>
          <w:right w:val="single" w:sz="4" w:space="4" w:color="9C27B0"/>
        </w:pBdr>
        <w:spacing w:after="0"/>
        <w:ind w:left="432" w:right="432"/>
      </w:pPr>
      <w:r>
        <w:rPr>
          <w:b/>
          <w:color w:val="9C27B0"/>
          <w:sz w:val="20"/>
        </w:rPr>
        <w:t xml:space="preserve">  AI/AGENTIC</w:t>
      </w:r>
    </w:p>
    <w:p>
      <w:pPr>
        <w:shd w:fill="F3E5F5" w:val="clear"/>
        <w:pBdr>
          <w:bottom w:val="single" w:sz="4" w:space="4" w:color="9C27B0"/>
          <w:left w:val="single" w:sz="12" w:space="4" w:color="9C27B0"/>
          <w:right w:val="single" w:sz="4" w:space="4" w:color="9C27B0"/>
        </w:pBdr>
        <w:spacing w:before="0"/>
        <w:ind w:left="432" w:right="432"/>
      </w:pPr>
      <w:r>
        <w:rPr>
          <w:color w:val="4B5563"/>
          <w:sz w:val="20"/>
        </w:rPr>
        <w:t xml:space="preserve">  Use Informatica CLAIRE metadata intelligence to identify parameters that are defined but never referenced, or parameters with values that have not changed across environments (potential hardcoding candidates).</w:t>
      </w:r>
    </w:p>
    <w:p/>
    <w:p>
      <w:pPr>
        <w:pStyle w:val="Heading1"/>
      </w:pPr>
      <w:r>
        <w:t>11. CI/CD Parameter Promotion</w:t>
      </w:r>
    </w:p>
    <w:p>
      <w:r>
        <w:t>Automated CI/CD pipelines must handle parameter promotion as a first-class concern. Parameter values must be injected per environment without manual intervention.</w:t>
      </w:r>
    </w:p>
    <w:p>
      <w:pPr>
        <w:pStyle w:val="Heading2"/>
      </w:pPr>
      <w:r>
        <w:t>11.1 CI/CD Parameter Workflow</w:t>
      </w:r>
    </w:p>
    <w:p>
      <w:pPr>
        <w:pStyle w:val="NoSpacing"/>
        <w:shd w:fill="F5F5F5" w:val="clear"/>
        <w:ind w:left="432"/>
      </w:pPr>
      <w:r>
        <w:rPr>
          <w:rFonts w:ascii="Consolas" w:hAnsi="Consolas"/>
          <w:sz w:val="18"/>
        </w:rPr>
        <w:t># CI/CD parameter promotion pipeline</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1. Developer commits IICS asset export + parameter definition to Git</w:t>
      </w:r>
    </w:p>
    <w:p>
      <w:pPr>
        <w:pStyle w:val="NoSpacing"/>
        <w:shd w:fill="F5F5F5" w:val="clear"/>
        <w:ind w:left="432"/>
      </w:pPr>
      <w:r>
        <w:rPr>
          <w:rFonts w:ascii="Consolas" w:hAnsi="Consolas"/>
          <w:sz w:val="18"/>
        </w:rPr>
        <w:t>2. CI pipeline validates parameter file syntax and completeness</w:t>
      </w:r>
    </w:p>
    <w:p>
      <w:pPr>
        <w:pStyle w:val="NoSpacing"/>
        <w:shd w:fill="F5F5F5" w:val="clear"/>
        <w:ind w:left="432"/>
      </w:pPr>
      <w:r>
        <w:rPr>
          <w:rFonts w:ascii="Consolas" w:hAnsi="Consolas"/>
          <w:sz w:val="18"/>
        </w:rPr>
        <w:t>3. CD pipeline deploys to target environment:</w:t>
      </w:r>
    </w:p>
    <w:p>
      <w:pPr>
        <w:pStyle w:val="NoSpacing"/>
        <w:shd w:fill="F5F5F5" w:val="clear"/>
        <w:ind w:left="432"/>
      </w:pPr>
      <w:r>
        <w:rPr>
          <w:rFonts w:ascii="Consolas" w:hAnsi="Consolas"/>
          <w:sz w:val="18"/>
        </w:rPr>
        <w:t xml:space="preserve">   a. Reads environment-specific parameter values from secrets vault</w:t>
      </w:r>
    </w:p>
    <w:p>
      <w:pPr>
        <w:pStyle w:val="NoSpacing"/>
        <w:shd w:fill="F5F5F5" w:val="clear"/>
        <w:ind w:left="432"/>
      </w:pPr>
      <w:r>
        <w:rPr>
          <w:rFonts w:ascii="Consolas" w:hAnsi="Consolas"/>
          <w:sz w:val="18"/>
        </w:rPr>
        <w:t xml:space="preserve">   b. Creates / updates IICS parameter set via REST API</w:t>
      </w:r>
    </w:p>
    <w:p>
      <w:pPr>
        <w:pStyle w:val="NoSpacing"/>
        <w:shd w:fill="F5F5F5" w:val="clear"/>
        <w:ind w:left="432"/>
      </w:pPr>
      <w:r>
        <w:rPr>
          <w:rFonts w:ascii="Consolas" w:hAnsi="Consolas"/>
          <w:sz w:val="18"/>
        </w:rPr>
        <w:t xml:space="preserve">   c. Deploys mapping and taskflow assets</w:t>
      </w:r>
    </w:p>
    <w:p>
      <w:pPr>
        <w:pStyle w:val="NoSpacing"/>
        <w:shd w:fill="F5F5F5" w:val="clear"/>
        <w:ind w:left="432"/>
      </w:pPr>
      <w:r>
        <w:rPr>
          <w:rFonts w:ascii="Consolas" w:hAnsi="Consolas"/>
          <w:sz w:val="18"/>
        </w:rPr>
        <w:t xml:space="preserve">   d. Binds connection assignments to environment-specific connections</w:t>
      </w:r>
    </w:p>
    <w:p>
      <w:pPr>
        <w:pStyle w:val="NoSpacing"/>
        <w:shd w:fill="F5F5F5" w:val="clear"/>
        <w:ind w:left="432"/>
      </w:pPr>
      <w:r>
        <w:rPr>
          <w:rFonts w:ascii="Consolas" w:hAnsi="Consolas"/>
          <w:sz w:val="18"/>
        </w:rPr>
        <w:t xml:space="preserve">   e. Runs smoke test to verify parameter resolution</w:t>
      </w:r>
    </w:p>
    <w:p>
      <w:pPr>
        <w:pStyle w:val="NoSpacing"/>
        <w:shd w:fill="F5F5F5" w:val="clear"/>
        <w:ind w:left="432"/>
      </w:pPr>
      <w:r>
        <w:rPr>
          <w:rFonts w:ascii="Consolas" w:hAnsi="Consolas"/>
          <w:sz w:val="18"/>
        </w:rPr>
        <w:t>4. Pipeline reports success/failure with parameter resolution details</w:t>
      </w:r>
    </w:p>
    <w:p/>
    <w:p>
      <w:pPr>
        <w:pStyle w:val="Heading2"/>
      </w:pPr>
      <w:r>
        <w:t>11.2 IICS REST API for Parameter Management</w:t>
      </w:r>
    </w:p>
    <w:p>
      <w:pPr>
        <w:pStyle w:val="NoSpacing"/>
        <w:shd w:fill="F5F5F5" w:val="clear"/>
        <w:ind w:left="432"/>
      </w:pPr>
      <w:r>
        <w:rPr>
          <w:rFonts w:ascii="Consolas" w:hAnsi="Consolas"/>
          <w:sz w:val="18"/>
        </w:rPr>
        <w:t># Create / Update parameter set via IICS REST API</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POST /api/v2/parameterSet</w:t>
      </w:r>
    </w:p>
    <w:p>
      <w:pPr>
        <w:pStyle w:val="NoSpacing"/>
        <w:shd w:fill="F5F5F5" w:val="clear"/>
        <w:ind w:left="432"/>
      </w:pPr>
      <w:r>
        <w:rPr>
          <w:rFonts w:ascii="Consolas" w:hAnsi="Consolas"/>
          <w:sz w:val="18"/>
        </w:rPr>
        <w:t>Content-Type: application/json</w:t>
      </w:r>
    </w:p>
    <w:p>
      <w:pPr>
        <w:pStyle w:val="NoSpacing"/>
        <w:shd w:fill="F5F5F5" w:val="clear"/>
        <w:ind w:left="432"/>
      </w:pPr>
      <w:r>
        <w:rPr>
          <w:rFonts w:ascii="Consolas" w:hAnsi="Consolas"/>
          <w:sz w:val="18"/>
        </w:rPr>
        <w:t>Authorization: Bearer &lt;token&gt;</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"name": "PS_SalesLoad_QA",</w:t>
      </w:r>
    </w:p>
    <w:p>
      <w:pPr>
        <w:pStyle w:val="NoSpacing"/>
        <w:shd w:fill="F5F5F5" w:val="clear"/>
        <w:ind w:left="432"/>
      </w:pPr>
      <w:r>
        <w:rPr>
          <w:rFonts w:ascii="Consolas" w:hAnsi="Consolas"/>
          <w:sz w:val="18"/>
        </w:rPr>
        <w:t xml:space="preserve">  "parameters": [</w:t>
      </w:r>
    </w:p>
    <w:p>
      <w:pPr>
        <w:pStyle w:val="NoSpacing"/>
        <w:shd w:fill="F5F5F5" w:val="clear"/>
        <w:ind w:left="432"/>
      </w:pPr>
      <w:r>
        <w:rPr>
          <w:rFonts w:ascii="Consolas" w:hAnsi="Consolas"/>
          <w:sz w:val="18"/>
        </w:rPr>
        <w:t xml:space="preserve">    {"name": "$$DB_SCHEMA", "type": "STRING", "value": "QA_DW"},</w:t>
      </w:r>
    </w:p>
    <w:p>
      <w:pPr>
        <w:pStyle w:val="NoSpacing"/>
        <w:shd w:fill="F5F5F5" w:val="clear"/>
        <w:ind w:left="432"/>
      </w:pPr>
      <w:r>
        <w:rPr>
          <w:rFonts w:ascii="Consolas" w:hAnsi="Consolas"/>
          <w:sz w:val="18"/>
        </w:rPr>
        <w:t xml:space="preserve">    {"name": "$$BATCH_SIZE", "type": "INTEGER", "value": "10000"},</w:t>
      </w:r>
    </w:p>
    <w:p>
      <w:pPr>
        <w:pStyle w:val="NoSpacing"/>
        <w:shd w:fill="F5F5F5" w:val="clear"/>
        <w:ind w:left="432"/>
      </w:pPr>
      <w:r>
        <w:rPr>
          <w:rFonts w:ascii="Consolas" w:hAnsi="Consolas"/>
          <w:sz w:val="18"/>
        </w:rPr>
        <w:t xml:space="preserve">    {"name": "$$DB_PASSWORD", "type": "SECURE_STRING", "value":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w:t>
      </w:r>
    </w:p>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Ensure that CI/CD pipelines do not log or expose secure parameter values in build output. Use masked variables in Jenkins / Azure DevOps and restrict access to pipeline configuration.</w:t>
      </w:r>
    </w:p>
    <w:p/>
    <w:p>
      <w:r>
        <w:br w:type="page"/>
      </w:r>
    </w:p>
    <w:p>
      <w:pPr>
        <w:pStyle w:val="Heading1"/>
      </w:pPr>
      <w:r>
        <w:t>12. Parameter Audit Trail</w:t>
      </w:r>
    </w:p>
    <w:p>
      <w:r>
        <w:t>Maintaining an audit trail of parameter changes is essential for compliance, troubleshooting, and change management.</w:t>
      </w:r>
    </w:p>
    <w:p>
      <w:pPr>
        <w:pStyle w:val="Heading2"/>
      </w:pPr>
      <w:r>
        <w:t>12.1 What to Audit</w:t>
      </w:r>
    </w:p>
    <w:p>
      <w:pPr>
        <w:pStyle w:val="ListBullet"/>
      </w:pPr>
      <w:r>
        <w:t>Parameter value changes: who changed what, when, and the before/after values</w:t>
      </w:r>
    </w:p>
    <w:p>
      <w:pPr>
        <w:pStyle w:val="ListBullet"/>
      </w:pPr>
      <w:r>
        <w:t>Parameter set creation and deletion events</w:t>
      </w:r>
    </w:p>
    <w:p>
      <w:pPr>
        <w:pStyle w:val="ListBullet"/>
      </w:pPr>
      <w:r>
        <w:t>Runtime parameter overrides applied via API or schedule</w:t>
      </w:r>
    </w:p>
    <w:p>
      <w:pPr>
        <w:pStyle w:val="ListBullet"/>
      </w:pPr>
      <w:r>
        <w:t>Parameter access by CI/CD pipelines and service accounts</w:t>
      </w:r>
    </w:p>
    <w:p>
      <w:pPr>
        <w:pStyle w:val="Heading2"/>
      </w:pPr>
      <w:r>
        <w:t>12.2 Audit Implementation</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Approach</w:t>
            </w:r>
          </w:p>
        </w:tc>
        <w:tc>
          <w:tcPr>
            <w:tcW w:type="dxa" w:w="2351"/>
            <w:shd w:fill="0C548A" w:val="clear"/>
          </w:tcPr>
          <w:p>
            <w:r>
              <w:rPr>
                <w:b/>
                <w:color w:val="FFFFFF"/>
                <w:sz w:val="20"/>
              </w:rPr>
              <w:t>Description</w:t>
            </w:r>
          </w:p>
        </w:tc>
        <w:tc>
          <w:tcPr>
            <w:tcW w:type="dxa" w:w="2351"/>
            <w:shd w:fill="0C548A" w:val="clear"/>
          </w:tcPr>
          <w:p>
            <w:r>
              <w:rPr>
                <w:b/>
                <w:color w:val="FFFFFF"/>
                <w:sz w:val="20"/>
              </w:rPr>
              <w:t>Pros</w:t>
            </w:r>
          </w:p>
        </w:tc>
        <w:tc>
          <w:tcPr>
            <w:tcW w:type="dxa" w:w="2351"/>
            <w:shd w:fill="0C548A" w:val="clear"/>
          </w:tcPr>
          <w:p>
            <w:r>
              <w:rPr>
                <w:b/>
                <w:color w:val="FFFFFF"/>
                <w:sz w:val="20"/>
              </w:rPr>
              <w:t>Cons</w:t>
            </w:r>
          </w:p>
        </w:tc>
      </w:tr>
      <w:tr>
        <w:tc>
          <w:tcPr>
            <w:tcW w:type="dxa" w:w="2351"/>
          </w:tcPr>
          <w:p>
            <w:r>
              <w:rPr>
                <w:sz w:val="20"/>
              </w:rPr>
              <w:t>IICS Audit Logs</w:t>
            </w:r>
          </w:p>
        </w:tc>
        <w:tc>
          <w:tcPr>
            <w:tcW w:type="dxa" w:w="2351"/>
          </w:tcPr>
          <w:p>
            <w:r>
              <w:rPr>
                <w:sz w:val="20"/>
              </w:rPr>
              <w:t>Native IICS audit log captures API actions</w:t>
            </w:r>
          </w:p>
        </w:tc>
        <w:tc>
          <w:tcPr>
            <w:tcW w:type="dxa" w:w="2351"/>
          </w:tcPr>
          <w:p>
            <w:r>
              <w:rPr>
                <w:sz w:val="20"/>
              </w:rPr>
              <w:t>No setup required; integrated with platform</w:t>
            </w:r>
          </w:p>
        </w:tc>
        <w:tc>
          <w:tcPr>
            <w:tcW w:type="dxa" w:w="2351"/>
          </w:tcPr>
          <w:p>
            <w:r>
              <w:rPr>
                <w:sz w:val="20"/>
              </w:rPr>
              <w:t>Limited retention; basic detail level</w:t>
            </w:r>
          </w:p>
        </w:tc>
      </w:tr>
      <w:tr>
        <w:tc>
          <w:tcPr>
            <w:tcW w:type="dxa" w:w="2351"/>
            <w:shd w:fill="F4F6FA" w:val="clear"/>
          </w:tcPr>
          <w:p>
            <w:r>
              <w:rPr>
                <w:sz w:val="20"/>
              </w:rPr>
              <w:t>Git History</w:t>
            </w:r>
          </w:p>
        </w:tc>
        <w:tc>
          <w:tcPr>
            <w:tcW w:type="dxa" w:w="2351"/>
            <w:shd w:fill="F4F6FA" w:val="clear"/>
          </w:tcPr>
          <w:p>
            <w:r>
              <w:rPr>
                <w:sz w:val="20"/>
              </w:rPr>
              <w:t>Parameter files tracked in Git with commit history</w:t>
            </w:r>
          </w:p>
        </w:tc>
        <w:tc>
          <w:tcPr>
            <w:tcW w:type="dxa" w:w="2351"/>
            <w:shd w:fill="F4F6FA" w:val="clear"/>
          </w:tcPr>
          <w:p>
            <w:r>
              <w:rPr>
                <w:sz w:val="20"/>
              </w:rPr>
              <w:t>Full change history; diff capability</w:t>
            </w:r>
          </w:p>
        </w:tc>
        <w:tc>
          <w:tcPr>
            <w:tcW w:type="dxa" w:w="2351"/>
            <w:shd w:fill="F4F6FA" w:val="clear"/>
          </w:tcPr>
          <w:p>
            <w:r>
              <w:rPr>
                <w:sz w:val="20"/>
              </w:rPr>
              <w:t>Does not capture runtime overrides</w:t>
            </w:r>
          </w:p>
        </w:tc>
      </w:tr>
      <w:tr>
        <w:tc>
          <w:tcPr>
            <w:tcW w:type="dxa" w:w="2351"/>
          </w:tcPr>
          <w:p>
            <w:r>
              <w:rPr>
                <w:sz w:val="20"/>
              </w:rPr>
              <w:t>Custom Audit Table</w:t>
            </w:r>
          </w:p>
        </w:tc>
        <w:tc>
          <w:tcPr>
            <w:tcW w:type="dxa" w:w="2351"/>
          </w:tcPr>
          <w:p>
            <w:r>
              <w:rPr>
                <w:sz w:val="20"/>
              </w:rPr>
              <w:t>Database table logging all parameter changes via trigger/API</w:t>
            </w:r>
          </w:p>
        </w:tc>
        <w:tc>
          <w:tcPr>
            <w:tcW w:type="dxa" w:w="2351"/>
          </w:tcPr>
          <w:p>
            <w:r>
              <w:rPr>
                <w:sz w:val="20"/>
              </w:rPr>
              <w:t>Full control; long retention; queryable</w:t>
            </w:r>
          </w:p>
        </w:tc>
        <w:tc>
          <w:tcPr>
            <w:tcW w:type="dxa" w:w="2351"/>
          </w:tcPr>
          <w:p>
            <w:r>
              <w:rPr>
                <w:sz w:val="20"/>
              </w:rPr>
              <w:t>Requires custom development and maintenance</w:t>
            </w:r>
          </w:p>
        </w:tc>
      </w:tr>
      <w:tr>
        <w:tc>
          <w:tcPr>
            <w:tcW w:type="dxa" w:w="2351"/>
            <w:shd w:fill="F4F6FA" w:val="clear"/>
          </w:tcPr>
          <w:p>
            <w:r>
              <w:rPr>
                <w:sz w:val="20"/>
              </w:rPr>
              <w:t>Secrets Manager Audit</w:t>
            </w:r>
          </w:p>
        </w:tc>
        <w:tc>
          <w:tcPr>
            <w:tcW w:type="dxa" w:w="2351"/>
            <w:shd w:fill="F4F6FA" w:val="clear"/>
          </w:tcPr>
          <w:p>
            <w:r>
              <w:rPr>
                <w:sz w:val="20"/>
              </w:rPr>
              <w:t>Vault audit log for secure parameter access</w:t>
            </w:r>
          </w:p>
        </w:tc>
        <w:tc>
          <w:tcPr>
            <w:tcW w:type="dxa" w:w="2351"/>
            <w:shd w:fill="F4F6FA" w:val="clear"/>
          </w:tcPr>
          <w:p>
            <w:r>
              <w:rPr>
                <w:sz w:val="20"/>
              </w:rPr>
              <w:t>Security-focused; compliance-ready</w:t>
            </w:r>
          </w:p>
        </w:tc>
        <w:tc>
          <w:tcPr>
            <w:tcW w:type="dxa" w:w="2351"/>
            <w:shd w:fill="F4F6FA" w:val="clear"/>
          </w:tcPr>
          <w:p>
            <w:r>
              <w:rPr>
                <w:sz w:val="20"/>
              </w:rPr>
              <w:t>Only covers secure parameters</w:t>
            </w:r>
          </w:p>
        </w:tc>
      </w:tr>
    </w:tbl>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For regulated industries (BFSI, HCLS), combine all four audit approaches for comprehensive coverage. The IICS audit log alone is insufficient for SOX or FDA compliance requirements.</w:t>
      </w:r>
    </w:p>
    <w:p/>
    <w:p>
      <w:pPr>
        <w:pStyle w:val="Heading2"/>
      </w:pPr>
      <w:r>
        <w:t>12.3 Audit Retention</w:t>
      </w:r>
    </w:p>
    <w:p>
      <w:pPr>
        <w:pStyle w:val="ListBullet"/>
      </w:pPr>
      <w:r>
        <w:t>Retain parameter audit logs for a minimum of 2 years for general compliance</w:t>
      </w:r>
    </w:p>
    <w:p>
      <w:pPr>
        <w:pStyle w:val="ListBullet"/>
      </w:pPr>
      <w:r>
        <w:t>SOX-regulated environments: retain for 7 years</w:t>
      </w:r>
    </w:p>
    <w:p>
      <w:pPr>
        <w:pStyle w:val="ListBullet"/>
      </w:pPr>
      <w:r>
        <w:t>FDA-regulated environments: retain for the lifetime of the system plus 2 years</w:t>
      </w:r>
    </w:p>
    <w:p>
      <w:pPr>
        <w:pStyle w:val="ListBullet"/>
      </w:pPr>
      <w:r>
        <w:t>Archive audit data to cold storage after the active retention period</w:t>
      </w:r>
    </w:p>
    <w:p>
      <w:r>
        <w:br w:type="page"/>
      </w:r>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0C548A" w:val="clear"/>
          </w:tcPr>
          <w:p>
            <w:r>
              <w:rPr>
                <w:b/>
                <w:color w:val="FFFFFF"/>
                <w:sz w:val="20"/>
              </w:rPr>
              <w:t>Category / Path</w:t>
            </w:r>
          </w:p>
        </w:tc>
      </w:tr>
      <w:tr>
        <w:tc>
          <w:tcPr>
            <w:tcW w:type="dxa" w:w="4703"/>
          </w:tcPr>
          <w:p>
            <w:r>
              <w:rPr>
                <w:sz w:val="20"/>
              </w:rPr>
              <w:t>INFA_IICS_Development_Standards.docx</w:t>
            </w:r>
          </w:p>
        </w:tc>
        <w:tc>
          <w:tcPr>
            <w:tcW w:type="dxa" w:w="4703"/>
          </w:tcPr>
          <w:p>
            <w:r>
              <w:rPr>
                <w:sz w:val="20"/>
              </w:rPr>
              <w:t>Best Practices Library (#58)</w:t>
            </w:r>
          </w:p>
        </w:tc>
      </w:tr>
      <w:tr>
        <w:tc>
          <w:tcPr>
            <w:tcW w:type="dxa" w:w="4703"/>
            <w:shd w:fill="F4F6FA" w:val="clear"/>
          </w:tcPr>
          <w:p>
            <w:r>
              <w:rPr>
                <w:sz w:val="20"/>
              </w:rPr>
              <w:t>INFA_Error_Handling_Logging.docx</w:t>
            </w:r>
          </w:p>
        </w:tc>
        <w:tc>
          <w:tcPr>
            <w:tcW w:type="dxa" w:w="4703"/>
            <w:shd w:fill="F4F6FA" w:val="clear"/>
          </w:tcPr>
          <w:p>
            <w:r>
              <w:rPr>
                <w:sz w:val="20"/>
              </w:rPr>
              <w:t>Best Practices Library (#59)</w:t>
            </w:r>
          </w:p>
        </w:tc>
      </w:tr>
      <w:tr>
        <w:tc>
          <w:tcPr>
            <w:tcW w:type="dxa" w:w="4703"/>
          </w:tcPr>
          <w:p>
            <w:r>
              <w:rPr>
                <w:sz w:val="20"/>
              </w:rPr>
              <w:t>INFA_CI_CD_Pipeline.docx</w:t>
            </w:r>
          </w:p>
        </w:tc>
        <w:tc>
          <w:tcPr>
            <w:tcW w:type="dxa" w:w="4703"/>
          </w:tcPr>
          <w:p>
            <w:r>
              <w:rPr>
                <w:sz w:val="20"/>
              </w:rPr>
              <w:t>DevOps &amp; Automation (#52)</w:t>
            </w:r>
          </w:p>
        </w:tc>
      </w:tr>
      <w:tr>
        <w:tc>
          <w:tcPr>
            <w:tcW w:type="dxa" w:w="4703"/>
            <w:shd w:fill="F4F6FA" w:val="clear"/>
          </w:tcPr>
          <w:p>
            <w:r>
              <w:rPr>
                <w:sz w:val="20"/>
              </w:rPr>
              <w:t>INFA_Naming_Conventions.docx</w:t>
            </w:r>
          </w:p>
        </w:tc>
        <w:tc>
          <w:tcPr>
            <w:tcW w:type="dxa" w:w="4703"/>
            <w:shd w:fill="F4F6FA" w:val="clear"/>
          </w:tcPr>
          <w:p>
            <w:r>
              <w:rPr>
                <w:sz w:val="20"/>
              </w:rPr>
              <w:t>Standards &amp; Templates (#45)</w:t>
            </w:r>
          </w:p>
        </w:tc>
      </w:tr>
      <w:tr>
        <w:tc>
          <w:tcPr>
            <w:tcW w:type="dxa" w:w="4703"/>
          </w:tcPr>
          <w:p>
            <w:r>
              <w:rPr>
                <w:sz w:val="20"/>
              </w:rPr>
              <w:t>INFA_Environment_Management.docx</w:t>
            </w:r>
          </w:p>
        </w:tc>
        <w:tc>
          <w:tcPr>
            <w:tcW w:type="dxa" w:w="4703"/>
          </w:tcPr>
          <w:p>
            <w:r>
              <w:rPr>
                <w:sz w:val="20"/>
              </w:rPr>
              <w:t>Operational Guides (#54)</w:t>
            </w:r>
          </w:p>
        </w:tc>
      </w:tr>
    </w:tbl>
    <w:p/>
    <w:p>
      <w:pPr>
        <w:jc w:val="center"/>
      </w:pPr>
      <w:r>
        <w:rPr>
          <w:color w:val="CCCCCC"/>
          <w:sz w:val="16"/>
        </w:rPr>
        <w:t>────────────────────────────────────────────────────────────────────────────────</w:t>
      </w:r>
    </w:p>
    <w:p>
      <w:r>
        <w:rPr>
          <w:i/>
        </w:rPr>
        <w:t>End of Document — Parameterization Guide — Mastech Digital 2026</w:t>
      </w:r>
    </w:p>
    <w:sectPr w:rsidR="00FC693F" w:rsidRPr="0006063C" w:rsidSect="00034616">
      <w:footerReference w:type="default" r:id="rId9"/>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Informatica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C548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C548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C548A"/>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