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Cloud Storage Connectors Guide</w:t>
      </w:r>
    </w:p>
    <w:p>
      <w:r>
        <w:rPr>
          <w:b/>
          <w:color w:val="FF6D00"/>
          <w:sz w:val="28"/>
        </w:rPr>
        <w:t>Mastech Digital — Informatica Platform Assets</w:t>
      </w:r>
    </w:p>
    <w:p>
      <w:r>
        <w:rPr>
          <w:i/>
          <w:color w:val="4B5563"/>
          <w:sz w:val="22"/>
        </w:rPr>
        <w:t>Guide for configuring Amazon S3, Azure Data Lake Storage Gen2, and Google Cloud Storage connectors in Informatica IDMC.</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Cloud Storage Connectors Guide</w:t>
            </w:r>
          </w:p>
        </w:tc>
      </w:tr>
      <w:tr>
        <w:tc>
          <w:tcPr>
            <w:tcW w:type="dxa" w:w="4703"/>
            <w:shd w:fill="0C548A" w:val="clear"/>
          </w:tcPr>
          <w:p>
            <w:r>
              <w:rPr>
                <w:b/>
                <w:color w:val="FFFFFF"/>
                <w:sz w:val="20"/>
              </w:rPr>
              <w:t>Category</w:t>
            </w:r>
          </w:p>
        </w:tc>
        <w:tc>
          <w:tcPr>
            <w:tcW w:type="dxa" w:w="4703"/>
          </w:tcPr>
          <w:p>
            <w:r>
              <w:rPr>
                <w:sz w:val="20"/>
              </w:rPr>
              <w:t>Connectors Library</w:t>
            </w:r>
          </w:p>
        </w:tc>
      </w:tr>
      <w:tr>
        <w:tc>
          <w:tcPr>
            <w:tcW w:type="dxa" w:w="4703"/>
            <w:shd w:fill="0C548A" w:val="clear"/>
          </w:tcPr>
          <w:p>
            <w:r>
              <w:rPr>
                <w:b/>
                <w:color w:val="FFFFFF"/>
                <w:sz w:val="20"/>
              </w:rPr>
              <w:t>Document ID</w:t>
            </w:r>
          </w:p>
        </w:tc>
        <w:tc>
          <w:tcPr>
            <w:tcW w:type="dxa" w:w="4703"/>
            <w:shd w:fill="F4F6FA" w:val="clear"/>
          </w:tcPr>
          <w:p>
            <w:r>
              <w:rPr>
                <w:sz w:val="20"/>
              </w:rPr>
              <w:t>#47</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Cloud storage connectors in Informatica IDMC enable integration with the three major cloud storage platforms: Amazon S3, Azure Data Lake Storage Gen2 (ADLS Gen2), and Google Cloud Storage (GCS). This guide covers authentication configuration for each platform (IAM roles, service principals, managed identities, service accounts), file format support (CSV, Parquet, Avro, ORC, JSON), partitioned file operations, compression strategies, wildcard file reading, directory monitoring for event-driven processing, large file handling, encryption options (SSE-S3, SSE-KMS, CMK), and cross-cloud integration patterns. Proper configuration ensures secure, high-throughput file-based data integration across multi-cloud environments.</w:t>
      </w:r>
    </w:p>
    <w:p/>
    <w:p>
      <w:pPr>
        <w:pStyle w:val="Heading1"/>
      </w:pPr>
      <w:r>
        <w:t>Table of Contents</w:t>
      </w:r>
    </w:p>
    <w:p>
      <w:pPr>
        <w:spacing w:after="60"/>
      </w:pPr>
      <w:r>
        <w:rPr>
          <w:color w:val="0C548A"/>
          <w:sz w:val="22"/>
        </w:rPr>
        <w:t>1.0  Amazon S3 Connector</w:t>
      </w:r>
    </w:p>
    <w:p>
      <w:pPr>
        <w:spacing w:after="60"/>
      </w:pPr>
      <w:r>
        <w:rPr>
          <w:color w:val="0C548A"/>
          <w:sz w:val="22"/>
        </w:rPr>
        <w:t>2.0  Azure Data Lake Storage Gen2</w:t>
      </w:r>
    </w:p>
    <w:p>
      <w:pPr>
        <w:spacing w:after="60"/>
      </w:pPr>
      <w:r>
        <w:rPr>
          <w:color w:val="0C548A"/>
          <w:sz w:val="22"/>
        </w:rPr>
        <w:t>3.0  Google Cloud Storage</w:t>
      </w:r>
    </w:p>
    <w:p>
      <w:pPr>
        <w:spacing w:after="60"/>
      </w:pPr>
      <w:r>
        <w:rPr>
          <w:color w:val="0C548A"/>
          <w:sz w:val="22"/>
        </w:rPr>
        <w:t>4.0  File Format Support</w:t>
      </w:r>
    </w:p>
    <w:p>
      <w:pPr>
        <w:spacing w:after="60"/>
      </w:pPr>
      <w:r>
        <w:rPr>
          <w:color w:val="0C548A"/>
          <w:sz w:val="22"/>
        </w:rPr>
        <w:t>5.0  Partitioned File Operations</w:t>
      </w:r>
    </w:p>
    <w:p>
      <w:pPr>
        <w:spacing w:after="60"/>
      </w:pPr>
      <w:r>
        <w:rPr>
          <w:color w:val="0C548A"/>
          <w:sz w:val="22"/>
        </w:rPr>
        <w:t>6.0  Compression Strategies</w:t>
      </w:r>
    </w:p>
    <w:p>
      <w:pPr>
        <w:spacing w:after="60"/>
      </w:pPr>
      <w:r>
        <w:rPr>
          <w:color w:val="0C548A"/>
          <w:sz w:val="22"/>
        </w:rPr>
        <w:t>7.0  Wildcard File Reading</w:t>
      </w:r>
    </w:p>
    <w:p>
      <w:pPr>
        <w:spacing w:after="60"/>
      </w:pPr>
      <w:r>
        <w:rPr>
          <w:color w:val="0C548A"/>
          <w:sz w:val="22"/>
        </w:rPr>
        <w:t>8.0  Directory Monitoring</w:t>
      </w:r>
    </w:p>
    <w:p>
      <w:pPr>
        <w:spacing w:after="60"/>
      </w:pPr>
      <w:r>
        <w:rPr>
          <w:color w:val="0C548A"/>
          <w:sz w:val="22"/>
        </w:rPr>
        <w:t>9.0  Large File Handling</w:t>
      </w:r>
    </w:p>
    <w:p>
      <w:pPr>
        <w:spacing w:after="60"/>
      </w:pPr>
      <w:r>
        <w:rPr>
          <w:color w:val="0C548A"/>
          <w:sz w:val="22"/>
        </w:rPr>
        <w:t>10.0  Encryption &amp; Security</w:t>
      </w:r>
    </w:p>
    <w:p>
      <w:pPr>
        <w:spacing w:after="60"/>
      </w:pPr>
      <w:r>
        <w:rPr>
          <w:color w:val="0C548A"/>
          <w:sz w:val="22"/>
        </w:rPr>
        <w:t>11.0  Cross-Cloud Patterns</w:t>
      </w:r>
    </w:p>
    <w:p>
      <w:r>
        <w:br w:type="page"/>
      </w:r>
    </w:p>
    <w:p>
      <w:pPr>
        <w:pStyle w:val="Heading1"/>
      </w:pPr>
      <w:r>
        <w:t>Prerequisites &amp; Applicability</w:t>
      </w:r>
    </w:p>
    <w:p>
      <w:pPr>
        <w:pStyle w:val="ListBullet"/>
      </w:pPr>
      <w:r>
        <w:t>Informatica IDMC (IICS) organization with cloud storage connector licenses</w:t>
      </w:r>
    </w:p>
    <w:p>
      <w:pPr>
        <w:pStyle w:val="ListBullet"/>
      </w:pPr>
      <w:r>
        <w:t>Secure Agent installed with network access to cloud storage endpoints</w:t>
      </w:r>
    </w:p>
    <w:p>
      <w:pPr>
        <w:pStyle w:val="ListBullet"/>
      </w:pPr>
      <w:r>
        <w:t>Cloud provider accounts with appropriate IAM permissions configured</w:t>
      </w:r>
    </w:p>
    <w:p>
      <w:pPr>
        <w:pStyle w:val="ListBullet"/>
      </w:pPr>
      <w:r>
        <w:t>Understanding of cloud storage concepts (buckets, containers, blobs, objects)</w:t>
      </w:r>
    </w:p>
    <w:p>
      <w:pPr>
        <w:pStyle w:val="ListBullet"/>
      </w:pPr>
      <w:r>
        <w:t>File format knowledge (CSV, Parquet, Avro, ORC, JSON) for source/target configuration</w:t>
      </w:r>
    </w:p>
    <w:p>
      <w:pPr>
        <w:pStyle w:val="ListBullet"/>
      </w:pPr>
      <w:r>
        <w:t>Encryption key management setup (AWS KMS, Azure Key Vault, GCP KMS) if using CMK</w:t>
      </w:r>
    </w:p>
    <w:p/>
    <w:p>
      <w:pPr>
        <w:pStyle w:val="Heading1"/>
      </w:pPr>
      <w:r>
        <w:t>1. Amazon S3 Connector</w:t>
      </w:r>
    </w:p>
    <w:p>
      <w:pPr>
        <w:pStyle w:val="Heading2"/>
      </w:pPr>
      <w:r>
        <w:t>1.1 IAM Role-Based Authentication</w:t>
      </w:r>
    </w:p>
    <w:p>
      <w:r>
        <w:t>IAM role-based authentication is the recommended approach for S3 access. It eliminates static access keys and leverages AWS STS for temporary credentials.</w:t>
      </w:r>
    </w:p>
    <w:p>
      <w:pPr>
        <w:pStyle w:val="NoSpacing"/>
        <w:shd w:fill="F5F5F5" w:val="clear"/>
        <w:ind w:left="432"/>
      </w:pPr>
      <w:r>
        <w:rPr>
          <w:rFonts w:ascii="Consolas" w:hAnsi="Consolas"/>
          <w:sz w:val="18"/>
        </w:rPr>
        <w:t>Connection Name:         AWS_S3_PROD</w:t>
      </w:r>
    </w:p>
    <w:p>
      <w:pPr>
        <w:pStyle w:val="NoSpacing"/>
        <w:shd w:fill="F5F5F5" w:val="clear"/>
        <w:ind w:left="432"/>
      </w:pPr>
      <w:r>
        <w:rPr>
          <w:rFonts w:ascii="Consolas" w:hAnsi="Consolas"/>
          <w:sz w:val="18"/>
        </w:rPr>
        <w:t>Connection Type:         Amazon S3 V2</w:t>
      </w:r>
    </w:p>
    <w:p>
      <w:pPr>
        <w:pStyle w:val="NoSpacing"/>
        <w:shd w:fill="F5F5F5" w:val="clear"/>
        <w:ind w:left="432"/>
      </w:pPr>
      <w:r>
        <w:rPr>
          <w:rFonts w:ascii="Consolas" w:hAnsi="Consolas"/>
          <w:sz w:val="18"/>
        </w:rPr>
        <w:t>Authentication:          IAM Role</w:t>
      </w:r>
    </w:p>
    <w:p>
      <w:pPr>
        <w:pStyle w:val="NoSpacing"/>
        <w:shd w:fill="F5F5F5" w:val="clear"/>
        <w:ind w:left="432"/>
      </w:pPr>
      <w:r>
        <w:rPr>
          <w:rFonts w:ascii="Consolas" w:hAnsi="Consolas"/>
          <w:sz w:val="18"/>
        </w:rPr>
        <w:t>IAM Role ARN:            arn:aws:iam::123456789012:role/InformaticaS3Role</w:t>
      </w:r>
    </w:p>
    <w:p>
      <w:pPr>
        <w:pStyle w:val="NoSpacing"/>
        <w:shd w:fill="F5F5F5" w:val="clear"/>
        <w:ind w:left="432"/>
      </w:pPr>
      <w:r>
        <w:rPr>
          <w:rFonts w:ascii="Consolas" w:hAnsi="Consolas"/>
          <w:sz w:val="18"/>
        </w:rPr>
        <w:t>External ID:             infa-prod-ext-id-2024</w:t>
      </w:r>
    </w:p>
    <w:p>
      <w:pPr>
        <w:pStyle w:val="NoSpacing"/>
        <w:shd w:fill="F5F5F5" w:val="clear"/>
        <w:ind w:left="432"/>
      </w:pPr>
      <w:r>
        <w:rPr>
          <w:rFonts w:ascii="Consolas" w:hAnsi="Consolas"/>
          <w:sz w:val="18"/>
        </w:rPr>
        <w:t>Region:                  us-east-1</w:t>
      </w:r>
    </w:p>
    <w:p>
      <w:pPr>
        <w:pStyle w:val="NoSpacing"/>
        <w:shd w:fill="F5F5F5" w:val="clear"/>
        <w:ind w:left="432"/>
      </w:pPr>
      <w:r>
        <w:rPr>
          <w:rFonts w:ascii="Consolas" w:hAnsi="Consolas"/>
          <w:sz w:val="18"/>
        </w:rPr>
        <w:t>Bucket Name:             company-data-lake-prod</w:t>
      </w:r>
    </w:p>
    <w:p>
      <w:pPr>
        <w:pStyle w:val="NoSpacing"/>
        <w:shd w:fill="F5F5F5" w:val="clear"/>
        <w:ind w:left="432"/>
      </w:pPr>
      <w:r>
        <w:rPr>
          <w:rFonts w:ascii="Consolas" w:hAnsi="Consolas"/>
          <w:sz w:val="18"/>
        </w:rPr>
        <w:t>Folder Path:             /raw/infa/</w:t>
      </w:r>
    </w:p>
    <w:p/>
    <w:p>
      <w:pPr>
        <w:pStyle w:val="Heading2"/>
      </w:pPr>
      <w:r>
        <w:t>1.2 Access Key Authentication</w:t>
      </w:r>
    </w:p>
    <w:p>
      <w:pPr>
        <w:pStyle w:val="NoSpacing"/>
        <w:shd w:fill="F5F5F5" w:val="clear"/>
        <w:ind w:left="432"/>
      </w:pPr>
      <w:r>
        <w:rPr>
          <w:rFonts w:ascii="Consolas" w:hAnsi="Consolas"/>
          <w:sz w:val="18"/>
        </w:rPr>
        <w:t>Connection Name:         AWS_S3_DEV</w:t>
      </w:r>
    </w:p>
    <w:p>
      <w:pPr>
        <w:pStyle w:val="NoSpacing"/>
        <w:shd w:fill="F5F5F5" w:val="clear"/>
        <w:ind w:left="432"/>
      </w:pPr>
      <w:r>
        <w:rPr>
          <w:rFonts w:ascii="Consolas" w:hAnsi="Consolas"/>
          <w:sz w:val="18"/>
        </w:rPr>
        <w:t>Connection Type:         Amazon S3 V2</w:t>
      </w:r>
    </w:p>
    <w:p>
      <w:pPr>
        <w:pStyle w:val="NoSpacing"/>
        <w:shd w:fill="F5F5F5" w:val="clear"/>
        <w:ind w:left="432"/>
      </w:pPr>
      <w:r>
        <w:rPr>
          <w:rFonts w:ascii="Consolas" w:hAnsi="Consolas"/>
          <w:sz w:val="18"/>
        </w:rPr>
        <w:t>Authentication:          Access Key</w:t>
      </w:r>
    </w:p>
    <w:p>
      <w:pPr>
        <w:pStyle w:val="NoSpacing"/>
        <w:shd w:fill="F5F5F5" w:val="clear"/>
        <w:ind w:left="432"/>
      </w:pPr>
      <w:r>
        <w:rPr>
          <w:rFonts w:ascii="Consolas" w:hAnsi="Consolas"/>
          <w:sz w:val="18"/>
        </w:rPr>
        <w:t>Access Key ID:           AKIA...</w:t>
      </w:r>
    </w:p>
    <w:p>
      <w:pPr>
        <w:pStyle w:val="NoSpacing"/>
        <w:shd w:fill="F5F5F5" w:val="clear"/>
        <w:ind w:left="432"/>
      </w:pPr>
      <w:r>
        <w:rPr>
          <w:rFonts w:ascii="Consolas" w:hAnsi="Consolas"/>
          <w:sz w:val="18"/>
        </w:rPr>
        <w:t>Secret Access Key:       ********</w:t>
      </w:r>
    </w:p>
    <w:p>
      <w:pPr>
        <w:pStyle w:val="NoSpacing"/>
        <w:shd w:fill="F5F5F5" w:val="clear"/>
        <w:ind w:left="432"/>
      </w:pPr>
      <w:r>
        <w:rPr>
          <w:rFonts w:ascii="Consolas" w:hAnsi="Consolas"/>
          <w:sz w:val="18"/>
        </w:rPr>
        <w:t>Region:                  us-east-1</w:t>
      </w:r>
    </w:p>
    <w:p>
      <w:pPr>
        <w:pStyle w:val="NoSpacing"/>
        <w:shd w:fill="F5F5F5" w:val="clear"/>
        <w:ind w:left="432"/>
      </w:pPr>
      <w:r>
        <w:rPr>
          <w:rFonts w:ascii="Consolas" w:hAnsi="Consolas"/>
          <w:sz w:val="18"/>
        </w:rPr>
        <w:t>Bucket Name:             company-data-lake-dev</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Always use IAM roles for production S3 connections. Configure the trust policy with an External ID condition to prevent confused deputy attacks. Rotate External IDs annually.</w:t>
      </w:r>
    </w:p>
    <w:p/>
    <w:p>
      <w:pPr>
        <w:pStyle w:val="Heading2"/>
      </w:pPr>
      <w:r>
        <w:t>1.3 Bucket Policy Requirements</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"Effect": "Allow",</w:t>
      </w:r>
    </w:p>
    <w:p>
      <w:pPr>
        <w:pStyle w:val="NoSpacing"/>
        <w:shd w:fill="F5F5F5" w:val="clear"/>
        <w:ind w:left="432"/>
      </w:pPr>
      <w:r>
        <w:rPr>
          <w:rFonts w:ascii="Consolas" w:hAnsi="Consolas"/>
          <w:sz w:val="18"/>
        </w:rPr>
        <w:t xml:space="preserve">  "Action": [</w:t>
      </w:r>
    </w:p>
    <w:p>
      <w:pPr>
        <w:pStyle w:val="NoSpacing"/>
        <w:shd w:fill="F5F5F5" w:val="clear"/>
        <w:ind w:left="432"/>
      </w:pPr>
      <w:r>
        <w:rPr>
          <w:rFonts w:ascii="Consolas" w:hAnsi="Consolas"/>
          <w:sz w:val="18"/>
        </w:rPr>
        <w:t xml:space="preserve">    "s3:GetObject",</w:t>
      </w:r>
    </w:p>
    <w:p>
      <w:pPr>
        <w:pStyle w:val="NoSpacing"/>
        <w:shd w:fill="F5F5F5" w:val="clear"/>
        <w:ind w:left="432"/>
      </w:pPr>
      <w:r>
        <w:rPr>
          <w:rFonts w:ascii="Consolas" w:hAnsi="Consolas"/>
          <w:sz w:val="18"/>
        </w:rPr>
        <w:t xml:space="preserve">    "s3:PutObject",</w:t>
      </w:r>
    </w:p>
    <w:p>
      <w:pPr>
        <w:pStyle w:val="NoSpacing"/>
        <w:shd w:fill="F5F5F5" w:val="clear"/>
        <w:ind w:left="432"/>
      </w:pPr>
      <w:r>
        <w:rPr>
          <w:rFonts w:ascii="Consolas" w:hAnsi="Consolas"/>
          <w:sz w:val="18"/>
        </w:rPr>
        <w:t xml:space="preserve">    "s3:DeleteObject",</w:t>
      </w:r>
    </w:p>
    <w:p>
      <w:pPr>
        <w:pStyle w:val="NoSpacing"/>
        <w:shd w:fill="F5F5F5" w:val="clear"/>
        <w:ind w:left="432"/>
      </w:pPr>
      <w:r>
        <w:rPr>
          <w:rFonts w:ascii="Consolas" w:hAnsi="Consolas"/>
          <w:sz w:val="18"/>
        </w:rPr>
        <w:t xml:space="preserve">    "s3:ListBucket",</w:t>
      </w:r>
    </w:p>
    <w:p>
      <w:pPr>
        <w:pStyle w:val="NoSpacing"/>
        <w:shd w:fill="F5F5F5" w:val="clear"/>
        <w:ind w:left="432"/>
      </w:pPr>
      <w:r>
        <w:rPr>
          <w:rFonts w:ascii="Consolas" w:hAnsi="Consolas"/>
          <w:sz w:val="18"/>
        </w:rPr>
        <w:t xml:space="preserve">    "s3:GetBucketLocation"</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"Resource": [</w:t>
      </w:r>
    </w:p>
    <w:p>
      <w:pPr>
        <w:pStyle w:val="NoSpacing"/>
        <w:shd w:fill="F5F5F5" w:val="clear"/>
        <w:ind w:left="432"/>
      </w:pPr>
      <w:r>
        <w:rPr>
          <w:rFonts w:ascii="Consolas" w:hAnsi="Consolas"/>
          <w:sz w:val="18"/>
        </w:rPr>
        <w:t xml:space="preserve">    "arn:aws:s3:::company-data-lake-prod",</w:t>
      </w:r>
    </w:p>
    <w:p>
      <w:pPr>
        <w:pStyle w:val="NoSpacing"/>
        <w:shd w:fill="F5F5F5" w:val="clear"/>
        <w:ind w:left="432"/>
      </w:pPr>
      <w:r>
        <w:rPr>
          <w:rFonts w:ascii="Consolas" w:hAnsi="Consolas"/>
          <w:sz w:val="18"/>
        </w:rPr>
        <w:t xml:space="preserve">    "arn:aws:s3:::company-data-lake-prod/*"</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2"/>
      </w:pPr>
      <w:r>
        <w:t>1.4 Cross-Account Access</w:t>
      </w:r>
    </w:p>
    <w:p>
      <w:r>
        <w:t>For multi-account AWS organizations, configure cross-account S3 access using IAM role assumption.</w:t>
      </w:r>
    </w:p>
    <w:p>
      <w:pPr>
        <w:pStyle w:val="ListBullet"/>
      </w:pPr>
      <w:r>
        <w:t>Account A (data account): Create IAM role with S3 access and trust policy for Account B</w:t>
      </w:r>
    </w:p>
    <w:p>
      <w:pPr>
        <w:pStyle w:val="ListBullet"/>
      </w:pPr>
      <w:r>
        <w:t>Account B (Informatica account): Secure Agent assumes role in Account A via STS</w:t>
      </w:r>
    </w:p>
    <w:p>
      <w:pPr>
        <w:pStyle w:val="ListBullet"/>
      </w:pPr>
      <w:r>
        <w:t>Use External ID and condition keys for secure cross-account delegation</w:t>
      </w:r>
    </w:p>
    <w:p>
      <w:r>
        <w:br w:type="page"/>
      </w:r>
    </w:p>
    <w:p>
      <w:pPr>
        <w:pStyle w:val="Heading1"/>
      </w:pPr>
      <w:r>
        <w:t>2. Azure Data Lake Storage Gen2</w:t>
      </w:r>
    </w:p>
    <w:p>
      <w:pPr>
        <w:pStyle w:val="Heading2"/>
      </w:pPr>
      <w:r>
        <w:t>2.1 Service Principal Authentication</w:t>
      </w:r>
    </w:p>
    <w:p>
      <w:pPr>
        <w:pStyle w:val="NoSpacing"/>
        <w:shd w:fill="F5F5F5" w:val="clear"/>
        <w:ind w:left="432"/>
      </w:pPr>
      <w:r>
        <w:rPr>
          <w:rFonts w:ascii="Consolas" w:hAnsi="Consolas"/>
          <w:sz w:val="18"/>
        </w:rPr>
        <w:t>Connection Name:         ADLS_GEN2_PROD</w:t>
      </w:r>
    </w:p>
    <w:p>
      <w:pPr>
        <w:pStyle w:val="NoSpacing"/>
        <w:shd w:fill="F5F5F5" w:val="clear"/>
        <w:ind w:left="432"/>
      </w:pPr>
      <w:r>
        <w:rPr>
          <w:rFonts w:ascii="Consolas" w:hAnsi="Consolas"/>
          <w:sz w:val="18"/>
        </w:rPr>
        <w:t>Connection Type:         Azure Data Lake Storage Gen2</w:t>
      </w:r>
    </w:p>
    <w:p>
      <w:pPr>
        <w:pStyle w:val="NoSpacing"/>
        <w:shd w:fill="F5F5F5" w:val="clear"/>
        <w:ind w:left="432"/>
      </w:pPr>
      <w:r>
        <w:rPr>
          <w:rFonts w:ascii="Consolas" w:hAnsi="Consolas"/>
          <w:sz w:val="18"/>
        </w:rPr>
        <w:t>Authentication:          Service Principal</w:t>
      </w:r>
    </w:p>
    <w:p>
      <w:pPr>
        <w:pStyle w:val="NoSpacing"/>
        <w:shd w:fill="F5F5F5" w:val="clear"/>
        <w:ind w:left="432"/>
      </w:pPr>
      <w:r>
        <w:rPr>
          <w:rFonts w:ascii="Consolas" w:hAnsi="Consolas"/>
          <w:sz w:val="18"/>
        </w:rPr>
        <w:t>Tenant ID:               &lt;azure-ad-tenant-id&gt;</w:t>
      </w:r>
    </w:p>
    <w:p>
      <w:pPr>
        <w:pStyle w:val="NoSpacing"/>
        <w:shd w:fill="F5F5F5" w:val="clear"/>
        <w:ind w:left="432"/>
      </w:pPr>
      <w:r>
        <w:rPr>
          <w:rFonts w:ascii="Consolas" w:hAnsi="Consolas"/>
          <w:sz w:val="18"/>
        </w:rPr>
        <w:t>Client ID:               &lt;app-registration-client-id&gt;</w:t>
      </w:r>
    </w:p>
    <w:p>
      <w:pPr>
        <w:pStyle w:val="NoSpacing"/>
        <w:shd w:fill="F5F5F5" w:val="clear"/>
        <w:ind w:left="432"/>
      </w:pPr>
      <w:r>
        <w:rPr>
          <w:rFonts w:ascii="Consolas" w:hAnsi="Consolas"/>
          <w:sz w:val="18"/>
        </w:rPr>
        <w:t>Client Secret:           ********</w:t>
      </w:r>
    </w:p>
    <w:p>
      <w:pPr>
        <w:pStyle w:val="NoSpacing"/>
        <w:shd w:fill="F5F5F5" w:val="clear"/>
        <w:ind w:left="432"/>
      </w:pPr>
      <w:r>
        <w:rPr>
          <w:rFonts w:ascii="Consolas" w:hAnsi="Consolas"/>
          <w:sz w:val="18"/>
        </w:rPr>
        <w:t>Storage Account Name:    companydatalake</w:t>
      </w:r>
    </w:p>
    <w:p>
      <w:pPr>
        <w:pStyle w:val="NoSpacing"/>
        <w:shd w:fill="F5F5F5" w:val="clear"/>
        <w:ind w:left="432"/>
      </w:pPr>
      <w:r>
        <w:rPr>
          <w:rFonts w:ascii="Consolas" w:hAnsi="Consolas"/>
          <w:sz w:val="18"/>
        </w:rPr>
        <w:t>Container:               raw-data</w:t>
      </w:r>
    </w:p>
    <w:p>
      <w:pPr>
        <w:pStyle w:val="NoSpacing"/>
        <w:shd w:fill="F5F5F5" w:val="clear"/>
        <w:ind w:left="432"/>
      </w:pPr>
      <w:r>
        <w:rPr>
          <w:rFonts w:ascii="Consolas" w:hAnsi="Consolas"/>
          <w:sz w:val="18"/>
        </w:rPr>
        <w:t>Folder Path:             /infa/landing/</w:t>
      </w:r>
    </w:p>
    <w:p/>
    <w:p>
      <w:pPr>
        <w:pStyle w:val="Heading2"/>
      </w:pPr>
      <w:r>
        <w:t>2.2 Managed Identity Authentication</w:t>
      </w:r>
    </w:p>
    <w:p>
      <w:r>
        <w:t>When the Secure Agent runs on an Azure VM, managed identity eliminates credential management entirely.</w:t>
      </w:r>
    </w:p>
    <w:p>
      <w:pPr>
        <w:pStyle w:val="NoSpacing"/>
        <w:shd w:fill="F5F5F5" w:val="clear"/>
        <w:ind w:left="432"/>
      </w:pPr>
      <w:r>
        <w:rPr>
          <w:rFonts w:ascii="Consolas" w:hAnsi="Consolas"/>
          <w:sz w:val="18"/>
        </w:rPr>
        <w:t>Connection Name:         ADLS_GEN2_MI</w:t>
      </w:r>
    </w:p>
    <w:p>
      <w:pPr>
        <w:pStyle w:val="NoSpacing"/>
        <w:shd w:fill="F5F5F5" w:val="clear"/>
        <w:ind w:left="432"/>
      </w:pPr>
      <w:r>
        <w:rPr>
          <w:rFonts w:ascii="Consolas" w:hAnsi="Consolas"/>
          <w:sz w:val="18"/>
        </w:rPr>
        <w:t>Connection Type:         Azure Data Lake Storage Gen2</w:t>
      </w:r>
    </w:p>
    <w:p>
      <w:pPr>
        <w:pStyle w:val="NoSpacing"/>
        <w:shd w:fill="F5F5F5" w:val="clear"/>
        <w:ind w:left="432"/>
      </w:pPr>
      <w:r>
        <w:rPr>
          <w:rFonts w:ascii="Consolas" w:hAnsi="Consolas"/>
          <w:sz w:val="18"/>
        </w:rPr>
        <w:t>Authentication:          Managed Identity</w:t>
      </w:r>
    </w:p>
    <w:p>
      <w:pPr>
        <w:pStyle w:val="NoSpacing"/>
        <w:shd w:fill="F5F5F5" w:val="clear"/>
        <w:ind w:left="432"/>
      </w:pPr>
      <w:r>
        <w:rPr>
          <w:rFonts w:ascii="Consolas" w:hAnsi="Consolas"/>
          <w:sz w:val="18"/>
        </w:rPr>
        <w:t>Storage Account Name:    companydatalake</w:t>
      </w:r>
    </w:p>
    <w:p>
      <w:pPr>
        <w:pStyle w:val="NoSpacing"/>
        <w:shd w:fill="F5F5F5" w:val="clear"/>
        <w:ind w:left="432"/>
      </w:pPr>
      <w:r>
        <w:rPr>
          <w:rFonts w:ascii="Consolas" w:hAnsi="Consolas"/>
          <w:sz w:val="18"/>
        </w:rPr>
        <w:t>Container:               raw-data</w:t>
      </w:r>
    </w:p>
    <w:p>
      <w:pPr>
        <w:pStyle w:val="NoSpacing"/>
        <w:shd w:fill="F5F5F5" w:val="clear"/>
        <w:ind w:left="432"/>
      </w:pPr>
      <w:r>
        <w:rPr>
          <w:rFonts w:ascii="Consolas" w:hAnsi="Consolas"/>
          <w:sz w:val="18"/>
        </w:rPr>
        <w:t>-- No credentials needed: Azure handles token issuance</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Managed Identity is the most secure authentication method for Azure-hosted Secure Agents. Assign Storage Blob Data Contributor role to the managed identity at the container or storage account level.</w:t>
      </w:r>
    </w:p>
    <w:p/>
    <w:p>
      <w:pPr>
        <w:pStyle w:val="Heading2"/>
      </w:pPr>
      <w:r>
        <w:t>2.3 Hierarchical Namespace</w:t>
      </w:r>
    </w:p>
    <w:p>
      <w:r>
        <w:t>ADLS Gen2 uses hierarchical namespace (HNS) which provides true directory semantics and atomic directory operations.</w:t>
      </w:r>
    </w:p>
    <w:p>
      <w:pPr>
        <w:pStyle w:val="ListBullet"/>
      </w:pPr>
      <w:r>
        <w:t>Hierarchical namespace must be enabled at storage account creation (cannot be changed later)</w:t>
      </w:r>
    </w:p>
    <w:p>
      <w:pPr>
        <w:pStyle w:val="ListBullet"/>
      </w:pPr>
      <w:r>
        <w:t>Provides POSIX-like ACLs for fine-grained access control</w:t>
      </w:r>
    </w:p>
    <w:p>
      <w:pPr>
        <w:pStyle w:val="ListBullet"/>
      </w:pPr>
      <w:r>
        <w:t>Enables atomic rename operations for safe file output patterns</w:t>
      </w:r>
    </w:p>
    <w:p>
      <w:pPr>
        <w:pStyle w:val="ListBullet"/>
      </w:pPr>
      <w:r>
        <w:t>Compatible with Azure Blob Storage APIs and ADLS Gen2 APIs simultaneously</w:t>
      </w:r>
    </w:p>
    <w:p>
      <w:r>
        <w:br w:type="page"/>
      </w:r>
    </w:p>
    <w:p>
      <w:pPr>
        <w:pStyle w:val="Heading1"/>
      </w:pPr>
      <w:r>
        <w:t>3. Google Cloud Storage</w:t>
      </w:r>
    </w:p>
    <w:p>
      <w:pPr>
        <w:pStyle w:val="Heading2"/>
      </w:pPr>
      <w:r>
        <w:t>3.1 Service Account Authentication</w:t>
      </w:r>
    </w:p>
    <w:p>
      <w:pPr>
        <w:pStyle w:val="NoSpacing"/>
        <w:shd w:fill="F5F5F5" w:val="clear"/>
        <w:ind w:left="432"/>
      </w:pPr>
      <w:r>
        <w:rPr>
          <w:rFonts w:ascii="Consolas" w:hAnsi="Consolas"/>
          <w:sz w:val="18"/>
        </w:rPr>
        <w:t>Connection Name:         GCS_PROD</w:t>
      </w:r>
    </w:p>
    <w:p>
      <w:pPr>
        <w:pStyle w:val="NoSpacing"/>
        <w:shd w:fill="F5F5F5" w:val="clear"/>
        <w:ind w:left="432"/>
      </w:pPr>
      <w:r>
        <w:rPr>
          <w:rFonts w:ascii="Consolas" w:hAnsi="Consolas"/>
          <w:sz w:val="18"/>
        </w:rPr>
        <w:t>Connection Type:         Google Cloud Storage V2</w:t>
      </w:r>
    </w:p>
    <w:p>
      <w:pPr>
        <w:pStyle w:val="NoSpacing"/>
        <w:shd w:fill="F5F5F5" w:val="clear"/>
        <w:ind w:left="432"/>
      </w:pPr>
      <w:r>
        <w:rPr>
          <w:rFonts w:ascii="Consolas" w:hAnsi="Consolas"/>
          <w:sz w:val="18"/>
        </w:rPr>
        <w:t>Authentication:          Service Account Key</w:t>
      </w:r>
    </w:p>
    <w:p>
      <w:pPr>
        <w:pStyle w:val="NoSpacing"/>
        <w:shd w:fill="F5F5F5" w:val="clear"/>
        <w:ind w:left="432"/>
      </w:pPr>
      <w:r>
        <w:rPr>
          <w:rFonts w:ascii="Consolas" w:hAnsi="Consolas"/>
          <w:sz w:val="18"/>
        </w:rPr>
        <w:t>Service Account JSON:    &lt;path-to-key-file.json&gt;</w:t>
      </w:r>
    </w:p>
    <w:p>
      <w:pPr>
        <w:pStyle w:val="NoSpacing"/>
        <w:shd w:fill="F5F5F5" w:val="clear"/>
        <w:ind w:left="432"/>
      </w:pPr>
      <w:r>
        <w:rPr>
          <w:rFonts w:ascii="Consolas" w:hAnsi="Consolas"/>
          <w:sz w:val="18"/>
        </w:rPr>
        <w:t>Project ID:              company-data-project</w:t>
      </w:r>
    </w:p>
    <w:p>
      <w:pPr>
        <w:pStyle w:val="NoSpacing"/>
        <w:shd w:fill="F5F5F5" w:val="clear"/>
        <w:ind w:left="432"/>
      </w:pPr>
      <w:r>
        <w:rPr>
          <w:rFonts w:ascii="Consolas" w:hAnsi="Consolas"/>
          <w:sz w:val="18"/>
        </w:rPr>
        <w:t>Bucket Name:             company-data-lake-prod</w:t>
      </w:r>
    </w:p>
    <w:p>
      <w:pPr>
        <w:pStyle w:val="NoSpacing"/>
        <w:shd w:fill="F5F5F5" w:val="clear"/>
        <w:ind w:left="432"/>
      </w:pPr>
      <w:r>
        <w:rPr>
          <w:rFonts w:ascii="Consolas" w:hAnsi="Consolas"/>
          <w:sz w:val="18"/>
        </w:rPr>
        <w:t>Folder Path:             /infa/raw/</w:t>
      </w:r>
    </w:p>
    <w:p/>
    <w:p>
      <w:pPr>
        <w:pStyle w:val="Heading2"/>
      </w:pPr>
      <w:r>
        <w:t>3.2 Workload Identity Federation</w:t>
      </w:r>
    </w:p>
    <w:p>
      <w:r>
        <w:t>For Secure Agents running outside GCP, Workload Identity Federation enables keyless authentication using external identity providers (AWS, Azure AD).</w:t>
      </w:r>
    </w:p>
    <w:p>
      <w:pPr>
        <w:pStyle w:val="NoSpacing"/>
        <w:shd w:fill="F5F5F5" w:val="clear"/>
        <w:ind w:left="432"/>
      </w:pPr>
      <w:r>
        <w:rPr>
          <w:rFonts w:ascii="Consolas" w:hAnsi="Consolas"/>
          <w:sz w:val="18"/>
        </w:rPr>
        <w:t>Connection Name:         GCS_PROD_WIF</w:t>
      </w:r>
    </w:p>
    <w:p>
      <w:pPr>
        <w:pStyle w:val="NoSpacing"/>
        <w:shd w:fill="F5F5F5" w:val="clear"/>
        <w:ind w:left="432"/>
      </w:pPr>
      <w:r>
        <w:rPr>
          <w:rFonts w:ascii="Consolas" w:hAnsi="Consolas"/>
          <w:sz w:val="18"/>
        </w:rPr>
        <w:t>Authentication:          Workload Identity</w:t>
      </w:r>
    </w:p>
    <w:p>
      <w:pPr>
        <w:pStyle w:val="NoSpacing"/>
        <w:shd w:fill="F5F5F5" w:val="clear"/>
        <w:ind w:left="432"/>
      </w:pPr>
      <w:r>
        <w:rPr>
          <w:rFonts w:ascii="Consolas" w:hAnsi="Consolas"/>
          <w:sz w:val="18"/>
        </w:rPr>
        <w:t>Workforce Pool:          projects/123456/locations/global/workforcePool/infa-pool</w:t>
      </w:r>
    </w:p>
    <w:p>
      <w:pPr>
        <w:pStyle w:val="NoSpacing"/>
        <w:shd w:fill="F5F5F5" w:val="clear"/>
        <w:ind w:left="432"/>
      </w:pPr>
      <w:r>
        <w:rPr>
          <w:rFonts w:ascii="Consolas" w:hAnsi="Consolas"/>
          <w:sz w:val="18"/>
        </w:rPr>
        <w:t>Provider:                projects/123456/locations/global/workforcePool/infa-pool/providers/aws-provider</w:t>
      </w:r>
    </w:p>
    <w:p>
      <w:pPr>
        <w:pStyle w:val="NoSpacing"/>
        <w:shd w:fill="F5F5F5" w:val="clear"/>
        <w:ind w:left="432"/>
      </w:pPr>
      <w:r>
        <w:rPr>
          <w:rFonts w:ascii="Consolas" w:hAnsi="Consolas"/>
          <w:sz w:val="18"/>
        </w:rPr>
        <w:t>Service Account:         infa-gcs@company-project.iam.gserviceaccount.com</w:t>
      </w:r>
    </w:p>
    <w:p>
      <w:pPr>
        <w:pStyle w:val="NoSpacing"/>
        <w:shd w:fill="F5F5F5" w:val="clear"/>
        <w:ind w:left="432"/>
      </w:pPr>
      <w:r>
        <w:rPr>
          <w:rFonts w:ascii="Consolas" w:hAnsi="Consolas"/>
          <w:sz w:val="18"/>
        </w:rPr>
        <w:t>-- Credential source configured on Secure Agent host</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Prefer Workload Identity Federation over service account keys for cross-cloud scenarios. It eliminates long-lived credentials and integrates with existing cloud IAM infrastructure.</w:t>
      </w:r>
    </w:p>
    <w:p/>
    <w:p>
      <w:pPr>
        <w:pStyle w:val="Heading2"/>
      </w:pPr>
      <w:r>
        <w:t>3.3 Required IAM Roles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IAM Role</w:t>
            </w:r>
          </w:p>
        </w:tc>
        <w:tc>
          <w:tcPr>
            <w:tcW w:type="dxa" w:w="3135"/>
            <w:shd w:fill="0C548A" w:val="clear"/>
          </w:tcPr>
          <w:p>
            <w:r>
              <w:rPr>
                <w:b/>
                <w:color w:val="FFFFFF"/>
                <w:sz w:val="20"/>
              </w:rPr>
              <w:t>Scope</w:t>
            </w:r>
          </w:p>
        </w:tc>
        <w:tc>
          <w:tcPr>
            <w:tcW w:type="dxa" w:w="3135"/>
            <w:shd w:fill="0C548A" w:val="clear"/>
          </w:tcPr>
          <w:p>
            <w:r>
              <w:rPr>
                <w:b/>
                <w:color w:val="FFFFFF"/>
                <w:sz w:val="20"/>
              </w:rPr>
              <w:t>Purpose</w:t>
            </w:r>
          </w:p>
        </w:tc>
      </w:tr>
      <w:tr>
        <w:tc>
          <w:tcPr>
            <w:tcW w:type="dxa" w:w="3135"/>
          </w:tcPr>
          <w:p>
            <w:r>
              <w:rPr>
                <w:sz w:val="20"/>
              </w:rPr>
              <w:t>storage.objectViewer</w:t>
            </w:r>
          </w:p>
        </w:tc>
        <w:tc>
          <w:tcPr>
            <w:tcW w:type="dxa" w:w="3135"/>
          </w:tcPr>
          <w:p>
            <w:r>
              <w:rPr>
                <w:sz w:val="20"/>
              </w:rPr>
              <w:t>Bucket</w:t>
            </w:r>
          </w:p>
        </w:tc>
        <w:tc>
          <w:tcPr>
            <w:tcW w:type="dxa" w:w="3135"/>
          </w:tcPr>
          <w:p>
            <w:r>
              <w:rPr>
                <w:sz w:val="20"/>
              </w:rPr>
              <w:t>Read objects (source operations)</w:t>
            </w:r>
          </w:p>
        </w:tc>
      </w:tr>
      <w:tr>
        <w:tc>
          <w:tcPr>
            <w:tcW w:type="dxa" w:w="3135"/>
            <w:shd w:fill="F4F6FA" w:val="clear"/>
          </w:tcPr>
          <w:p>
            <w:r>
              <w:rPr>
                <w:sz w:val="20"/>
              </w:rPr>
              <w:t>storage.objectCreator</w:t>
            </w:r>
          </w:p>
        </w:tc>
        <w:tc>
          <w:tcPr>
            <w:tcW w:type="dxa" w:w="3135"/>
            <w:shd w:fill="F4F6FA" w:val="clear"/>
          </w:tcPr>
          <w:p>
            <w:r>
              <w:rPr>
                <w:sz w:val="20"/>
              </w:rPr>
              <w:t>Bucket</w:t>
            </w:r>
          </w:p>
        </w:tc>
        <w:tc>
          <w:tcPr>
            <w:tcW w:type="dxa" w:w="3135"/>
            <w:shd w:fill="F4F6FA" w:val="clear"/>
          </w:tcPr>
          <w:p>
            <w:r>
              <w:rPr>
                <w:sz w:val="20"/>
              </w:rPr>
              <w:t>Create objects (target operations)</w:t>
            </w:r>
          </w:p>
        </w:tc>
      </w:tr>
      <w:tr>
        <w:tc>
          <w:tcPr>
            <w:tcW w:type="dxa" w:w="3135"/>
          </w:tcPr>
          <w:p>
            <w:r>
              <w:rPr>
                <w:sz w:val="20"/>
              </w:rPr>
              <w:t>storage.objectAdmin</w:t>
            </w:r>
          </w:p>
        </w:tc>
        <w:tc>
          <w:tcPr>
            <w:tcW w:type="dxa" w:w="3135"/>
          </w:tcPr>
          <w:p>
            <w:r>
              <w:rPr>
                <w:sz w:val="20"/>
              </w:rPr>
              <w:t>Bucket</w:t>
            </w:r>
          </w:p>
        </w:tc>
        <w:tc>
          <w:tcPr>
            <w:tcW w:type="dxa" w:w="3135"/>
          </w:tcPr>
          <w:p>
            <w:r>
              <w:rPr>
                <w:sz w:val="20"/>
              </w:rPr>
              <w:t>Full CRUD on objects</w:t>
            </w:r>
          </w:p>
        </w:tc>
      </w:tr>
      <w:tr>
        <w:tc>
          <w:tcPr>
            <w:tcW w:type="dxa" w:w="3135"/>
            <w:shd w:fill="F4F6FA" w:val="clear"/>
          </w:tcPr>
          <w:p>
            <w:r>
              <w:rPr>
                <w:sz w:val="20"/>
              </w:rPr>
              <w:t>storage.admin</w:t>
            </w:r>
          </w:p>
        </w:tc>
        <w:tc>
          <w:tcPr>
            <w:tcW w:type="dxa" w:w="3135"/>
            <w:shd w:fill="F4F6FA" w:val="clear"/>
          </w:tcPr>
          <w:p>
            <w:r>
              <w:rPr>
                <w:sz w:val="20"/>
              </w:rPr>
              <w:t>Project</w:t>
            </w:r>
          </w:p>
        </w:tc>
        <w:tc>
          <w:tcPr>
            <w:tcW w:type="dxa" w:w="3135"/>
            <w:shd w:fill="F4F6FA" w:val="clear"/>
          </w:tcPr>
          <w:p>
            <w:r>
              <w:rPr>
                <w:sz w:val="20"/>
              </w:rPr>
              <w:t>Bucket creation and management (rarely needed)</w:t>
            </w:r>
          </w:p>
        </w:tc>
      </w:tr>
    </w:tbl>
    <w:p/>
    <w:p>
      <w:r>
        <w:br w:type="page"/>
      </w:r>
    </w:p>
    <w:p>
      <w:pPr>
        <w:pStyle w:val="Heading1"/>
      </w:pPr>
      <w:r>
        <w:t>4. File Format Support</w:t>
      </w:r>
    </w:p>
    <w:p>
      <w:r>
        <w:t>All three cloud storage connectors support the same set of file formats. Choose the format based on use case, downstream consumers, and performance requirements.</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Format</w:t>
            </w:r>
          </w:p>
        </w:tc>
        <w:tc>
          <w:tcPr>
            <w:tcW w:type="dxa" w:w="1881"/>
            <w:shd w:fill="0C548A" w:val="clear"/>
          </w:tcPr>
          <w:p>
            <w:r>
              <w:rPr>
                <w:b/>
                <w:color w:val="FFFFFF"/>
                <w:sz w:val="20"/>
              </w:rPr>
              <w:t>Type</w:t>
            </w:r>
          </w:p>
        </w:tc>
        <w:tc>
          <w:tcPr>
            <w:tcW w:type="dxa" w:w="1881"/>
            <w:shd w:fill="0C548A" w:val="clear"/>
          </w:tcPr>
          <w:p>
            <w:r>
              <w:rPr>
                <w:b/>
                <w:color w:val="FFFFFF"/>
                <w:sz w:val="20"/>
              </w:rPr>
              <w:t>Schema</w:t>
            </w:r>
          </w:p>
        </w:tc>
        <w:tc>
          <w:tcPr>
            <w:tcW w:type="dxa" w:w="1881"/>
            <w:shd w:fill="0C548A" w:val="clear"/>
          </w:tcPr>
          <w:p>
            <w:r>
              <w:rPr>
                <w:b/>
                <w:color w:val="FFFFFF"/>
                <w:sz w:val="20"/>
              </w:rPr>
              <w:t>Compression</w:t>
            </w:r>
          </w:p>
        </w:tc>
        <w:tc>
          <w:tcPr>
            <w:tcW w:type="dxa" w:w="1881"/>
            <w:shd w:fill="0C548A" w:val="clear"/>
          </w:tcPr>
          <w:p>
            <w:r>
              <w:rPr>
                <w:b/>
                <w:color w:val="FFFFFF"/>
                <w:sz w:val="20"/>
              </w:rPr>
              <w:t>Best For</w:t>
            </w:r>
          </w:p>
        </w:tc>
      </w:tr>
      <w:tr>
        <w:tc>
          <w:tcPr>
            <w:tcW w:type="dxa" w:w="1881"/>
          </w:tcPr>
          <w:p>
            <w:r>
              <w:rPr>
                <w:sz w:val="20"/>
              </w:rPr>
              <w:t>CSV</w:t>
            </w:r>
          </w:p>
        </w:tc>
        <w:tc>
          <w:tcPr>
            <w:tcW w:type="dxa" w:w="1881"/>
          </w:tcPr>
          <w:p>
            <w:r>
              <w:rPr>
                <w:sz w:val="20"/>
              </w:rPr>
              <w:t>Row-based text</w:t>
            </w:r>
          </w:p>
        </w:tc>
        <w:tc>
          <w:tcPr>
            <w:tcW w:type="dxa" w:w="1881"/>
          </w:tcPr>
          <w:p>
            <w:r>
              <w:rPr>
                <w:sz w:val="20"/>
              </w:rPr>
              <w:t>External (header or mapping)</w:t>
            </w:r>
          </w:p>
        </w:tc>
        <w:tc>
          <w:tcPr>
            <w:tcW w:type="dxa" w:w="1881"/>
          </w:tcPr>
          <w:p>
            <w:r>
              <w:rPr>
                <w:sz w:val="20"/>
              </w:rPr>
              <w:t>gzip, bzip2</w:t>
            </w:r>
          </w:p>
        </w:tc>
        <w:tc>
          <w:tcPr>
            <w:tcW w:type="dxa" w:w="1881"/>
          </w:tcPr>
          <w:p>
            <w:r>
              <w:rPr>
                <w:sz w:val="20"/>
              </w:rPr>
              <w:t>Simple exchange, legacy systems</w:t>
            </w:r>
          </w:p>
        </w:tc>
      </w:tr>
      <w:tr>
        <w:tc>
          <w:tcPr>
            <w:tcW w:type="dxa" w:w="1881"/>
            <w:shd w:fill="F4F6FA" w:val="clear"/>
          </w:tcPr>
          <w:p>
            <w:r>
              <w:rPr>
                <w:sz w:val="20"/>
              </w:rPr>
              <w:t>Parquet</w:t>
            </w:r>
          </w:p>
        </w:tc>
        <w:tc>
          <w:tcPr>
            <w:tcW w:type="dxa" w:w="1881"/>
            <w:shd w:fill="F4F6FA" w:val="clear"/>
          </w:tcPr>
          <w:p>
            <w:r>
              <w:rPr>
                <w:sz w:val="20"/>
              </w:rPr>
              <w:t>Columnar binary</w:t>
            </w:r>
          </w:p>
        </w:tc>
        <w:tc>
          <w:tcPr>
            <w:tcW w:type="dxa" w:w="1881"/>
            <w:shd w:fill="F4F6FA" w:val="clear"/>
          </w:tcPr>
          <w:p>
            <w:r>
              <w:rPr>
                <w:sz w:val="20"/>
              </w:rPr>
              <w:t>Embedded (self-describing)</w:t>
            </w:r>
          </w:p>
        </w:tc>
        <w:tc>
          <w:tcPr>
            <w:tcW w:type="dxa" w:w="1881"/>
            <w:shd w:fill="F4F6FA" w:val="clear"/>
          </w:tcPr>
          <w:p>
            <w:r>
              <w:rPr>
                <w:sz w:val="20"/>
              </w:rPr>
              <w:t>Snappy, gzip, zstd</w:t>
            </w:r>
          </w:p>
        </w:tc>
        <w:tc>
          <w:tcPr>
            <w:tcW w:type="dxa" w:w="1881"/>
            <w:shd w:fill="F4F6FA" w:val="clear"/>
          </w:tcPr>
          <w:p>
            <w:r>
              <w:rPr>
                <w:sz w:val="20"/>
              </w:rPr>
              <w:t>Analytics, data lake, Snowflake</w:t>
            </w:r>
          </w:p>
        </w:tc>
      </w:tr>
      <w:tr>
        <w:tc>
          <w:tcPr>
            <w:tcW w:type="dxa" w:w="1881"/>
          </w:tcPr>
          <w:p>
            <w:r>
              <w:rPr>
                <w:sz w:val="20"/>
              </w:rPr>
              <w:t>Avro</w:t>
            </w:r>
          </w:p>
        </w:tc>
        <w:tc>
          <w:tcPr>
            <w:tcW w:type="dxa" w:w="1881"/>
          </w:tcPr>
          <w:p>
            <w:r>
              <w:rPr>
                <w:sz w:val="20"/>
              </w:rPr>
              <w:t>Row-based binary</w:t>
            </w:r>
          </w:p>
        </w:tc>
        <w:tc>
          <w:tcPr>
            <w:tcW w:type="dxa" w:w="1881"/>
          </w:tcPr>
          <w:p>
            <w:r>
              <w:rPr>
                <w:sz w:val="20"/>
              </w:rPr>
              <w:t>Embedded (JSON schema)</w:t>
            </w:r>
          </w:p>
        </w:tc>
        <w:tc>
          <w:tcPr>
            <w:tcW w:type="dxa" w:w="1881"/>
          </w:tcPr>
          <w:p>
            <w:r>
              <w:rPr>
                <w:sz w:val="20"/>
              </w:rPr>
              <w:t>Snappy, deflate</w:t>
            </w:r>
          </w:p>
        </w:tc>
        <w:tc>
          <w:tcPr>
            <w:tcW w:type="dxa" w:w="1881"/>
          </w:tcPr>
          <w:p>
            <w:r>
              <w:rPr>
                <w:sz w:val="20"/>
              </w:rPr>
              <w:t>Streaming, Kafka integration</w:t>
            </w:r>
          </w:p>
        </w:tc>
      </w:tr>
      <w:tr>
        <w:tc>
          <w:tcPr>
            <w:tcW w:type="dxa" w:w="1881"/>
            <w:shd w:fill="F4F6FA" w:val="clear"/>
          </w:tcPr>
          <w:p>
            <w:r>
              <w:rPr>
                <w:sz w:val="20"/>
              </w:rPr>
              <w:t>ORC</w:t>
            </w:r>
          </w:p>
        </w:tc>
        <w:tc>
          <w:tcPr>
            <w:tcW w:type="dxa" w:w="1881"/>
            <w:shd w:fill="F4F6FA" w:val="clear"/>
          </w:tcPr>
          <w:p>
            <w:r>
              <w:rPr>
                <w:sz w:val="20"/>
              </w:rPr>
              <w:t>Columnar binary</w:t>
            </w:r>
          </w:p>
        </w:tc>
        <w:tc>
          <w:tcPr>
            <w:tcW w:type="dxa" w:w="1881"/>
            <w:shd w:fill="F4F6FA" w:val="clear"/>
          </w:tcPr>
          <w:p>
            <w:r>
              <w:rPr>
                <w:sz w:val="20"/>
              </w:rPr>
              <w:t>Embedded</w:t>
            </w:r>
          </w:p>
        </w:tc>
        <w:tc>
          <w:tcPr>
            <w:tcW w:type="dxa" w:w="1881"/>
            <w:shd w:fill="F4F6FA" w:val="clear"/>
          </w:tcPr>
          <w:p>
            <w:r>
              <w:rPr>
                <w:sz w:val="20"/>
              </w:rPr>
              <w:t>Snappy, zlib</w:t>
            </w:r>
          </w:p>
        </w:tc>
        <w:tc>
          <w:tcPr>
            <w:tcW w:type="dxa" w:w="1881"/>
            <w:shd w:fill="F4F6FA" w:val="clear"/>
          </w:tcPr>
          <w:p>
            <w:r>
              <w:rPr>
                <w:sz w:val="20"/>
              </w:rPr>
              <w:t>Hive/Hadoop ecosystems</w:t>
            </w:r>
          </w:p>
        </w:tc>
      </w:tr>
      <w:tr>
        <w:tc>
          <w:tcPr>
            <w:tcW w:type="dxa" w:w="1881"/>
          </w:tcPr>
          <w:p>
            <w:r>
              <w:rPr>
                <w:sz w:val="20"/>
              </w:rPr>
              <w:t>JSON</w:t>
            </w:r>
          </w:p>
        </w:tc>
        <w:tc>
          <w:tcPr>
            <w:tcW w:type="dxa" w:w="1881"/>
          </w:tcPr>
          <w:p>
            <w:r>
              <w:rPr>
                <w:sz w:val="20"/>
              </w:rPr>
              <w:t>Row-based text</w:t>
            </w:r>
          </w:p>
        </w:tc>
        <w:tc>
          <w:tcPr>
            <w:tcW w:type="dxa" w:w="1881"/>
          </w:tcPr>
          <w:p>
            <w:r>
              <w:rPr>
                <w:sz w:val="20"/>
              </w:rPr>
              <w:t>Implicit (key-value)</w:t>
            </w:r>
          </w:p>
        </w:tc>
        <w:tc>
          <w:tcPr>
            <w:tcW w:type="dxa" w:w="1881"/>
          </w:tcPr>
          <w:p>
            <w:r>
              <w:rPr>
                <w:sz w:val="20"/>
              </w:rPr>
              <w:t>gzip</w:t>
            </w:r>
          </w:p>
        </w:tc>
        <w:tc>
          <w:tcPr>
            <w:tcW w:type="dxa" w:w="1881"/>
          </w:tcPr>
          <w:p>
            <w:r>
              <w:rPr>
                <w:sz w:val="20"/>
              </w:rPr>
              <w:t>APIs, semi-structured data</w:t>
            </w:r>
          </w:p>
        </w:tc>
      </w:tr>
    </w:tbl>
    <w:p/>
    <w:p>
      <w:pPr>
        <w:pStyle w:val="Heading2"/>
      </w:pPr>
      <w:r>
        <w:t>4.1 Parquet Configuration</w:t>
      </w:r>
    </w:p>
    <w:p>
      <w:pPr>
        <w:pStyle w:val="NoSpacing"/>
        <w:shd w:fill="F5F5F5" w:val="clear"/>
        <w:ind w:left="432"/>
      </w:pPr>
      <w:r>
        <w:rPr>
          <w:rFonts w:ascii="Consolas" w:hAnsi="Consolas"/>
          <w:sz w:val="18"/>
        </w:rPr>
        <w:t>File Format:             Parquet</w:t>
      </w:r>
    </w:p>
    <w:p>
      <w:pPr>
        <w:pStyle w:val="NoSpacing"/>
        <w:shd w:fill="F5F5F5" w:val="clear"/>
        <w:ind w:left="432"/>
      </w:pPr>
      <w:r>
        <w:rPr>
          <w:rFonts w:ascii="Consolas" w:hAnsi="Consolas"/>
          <w:sz w:val="18"/>
        </w:rPr>
        <w:t>Parquet Compression:     Snappy (default) or ZSTD</w:t>
      </w:r>
    </w:p>
    <w:p>
      <w:pPr>
        <w:pStyle w:val="NoSpacing"/>
        <w:shd w:fill="F5F5F5" w:val="clear"/>
        <w:ind w:left="432"/>
      </w:pPr>
      <w:r>
        <w:rPr>
          <w:rFonts w:ascii="Consolas" w:hAnsi="Consolas"/>
          <w:sz w:val="18"/>
        </w:rPr>
        <w:t>Row Group Size:          128 MB (default)</w:t>
      </w:r>
    </w:p>
    <w:p>
      <w:pPr>
        <w:pStyle w:val="NoSpacing"/>
        <w:shd w:fill="F5F5F5" w:val="clear"/>
        <w:ind w:left="432"/>
      </w:pPr>
      <w:r>
        <w:rPr>
          <w:rFonts w:ascii="Consolas" w:hAnsi="Consolas"/>
          <w:sz w:val="18"/>
        </w:rPr>
        <w:t>Page Size:               1 MB</w:t>
      </w:r>
    </w:p>
    <w:p>
      <w:pPr>
        <w:pStyle w:val="NoSpacing"/>
        <w:shd w:fill="F5F5F5" w:val="clear"/>
        <w:ind w:left="432"/>
      </w:pPr>
      <w:r>
        <w:rPr>
          <w:rFonts w:ascii="Consolas" w:hAnsi="Consolas"/>
          <w:sz w:val="18"/>
        </w:rPr>
        <w:t>Dictionary Encoding:     Enabled (for low-cardinality columns)</w:t>
      </w:r>
    </w:p>
    <w:p>
      <w:pPr>
        <w:pStyle w:val="NoSpacing"/>
        <w:shd w:fill="F5F5F5" w:val="clear"/>
        <w:ind w:left="432"/>
      </w:pPr>
      <w:r>
        <w:rPr>
          <w:rFonts w:ascii="Consolas" w:hAnsi="Consolas"/>
          <w:sz w:val="18"/>
        </w:rPr>
        <w:t>Schema Evolution:        Merge schema on read</w:t>
      </w:r>
    </w:p>
    <w:p/>
    <w:p>
      <w:pPr>
        <w:pStyle w:val="Heading2"/>
      </w:pPr>
      <w:r>
        <w:t>4.2 CSV Configuration</w:t>
      </w:r>
    </w:p>
    <w:p>
      <w:pPr>
        <w:pStyle w:val="NoSpacing"/>
        <w:shd w:fill="F5F5F5" w:val="clear"/>
        <w:ind w:left="432"/>
      </w:pPr>
      <w:r>
        <w:rPr>
          <w:rFonts w:ascii="Consolas" w:hAnsi="Consolas"/>
          <w:sz w:val="18"/>
        </w:rPr>
        <w:t>File Format:             CSV (Delimited)</w:t>
      </w:r>
    </w:p>
    <w:p>
      <w:pPr>
        <w:pStyle w:val="NoSpacing"/>
        <w:shd w:fill="F5F5F5" w:val="clear"/>
        <w:ind w:left="432"/>
      </w:pPr>
      <w:r>
        <w:rPr>
          <w:rFonts w:ascii="Consolas" w:hAnsi="Consolas"/>
          <w:sz w:val="18"/>
        </w:rPr>
        <w:t>Delimiter:               , (comma) or | (pipe)</w:t>
      </w:r>
    </w:p>
    <w:p>
      <w:pPr>
        <w:pStyle w:val="NoSpacing"/>
        <w:shd w:fill="F5F5F5" w:val="clear"/>
        <w:ind w:left="432"/>
      </w:pPr>
      <w:r>
        <w:rPr>
          <w:rFonts w:ascii="Consolas" w:hAnsi="Consolas"/>
          <w:sz w:val="18"/>
        </w:rPr>
        <w:t>Qualifier:               " (double-quote)</w:t>
      </w:r>
    </w:p>
    <w:p>
      <w:pPr>
        <w:pStyle w:val="NoSpacing"/>
        <w:shd w:fill="F5F5F5" w:val="clear"/>
        <w:ind w:left="432"/>
      </w:pPr>
      <w:r>
        <w:rPr>
          <w:rFonts w:ascii="Consolas" w:hAnsi="Consolas"/>
          <w:sz w:val="18"/>
        </w:rPr>
        <w:t>Header Row:              Yes (first row contains column names)</w:t>
      </w:r>
    </w:p>
    <w:p>
      <w:pPr>
        <w:pStyle w:val="NoSpacing"/>
        <w:shd w:fill="F5F5F5" w:val="clear"/>
        <w:ind w:left="432"/>
      </w:pPr>
      <w:r>
        <w:rPr>
          <w:rFonts w:ascii="Consolas" w:hAnsi="Consolas"/>
          <w:sz w:val="18"/>
        </w:rPr>
        <w:t>Escape Character:        \ (backslash)</w:t>
      </w:r>
    </w:p>
    <w:p>
      <w:pPr>
        <w:pStyle w:val="NoSpacing"/>
        <w:shd w:fill="F5F5F5" w:val="clear"/>
        <w:ind w:left="432"/>
      </w:pPr>
      <w:r>
        <w:rPr>
          <w:rFonts w:ascii="Consolas" w:hAnsi="Consolas"/>
          <w:sz w:val="18"/>
        </w:rPr>
        <w:t>Null Value:              \N or empty string</w:t>
      </w:r>
    </w:p>
    <w:p>
      <w:pPr>
        <w:pStyle w:val="NoSpacing"/>
        <w:shd w:fill="F5F5F5" w:val="clear"/>
        <w:ind w:left="432"/>
      </w:pPr>
      <w:r>
        <w:rPr>
          <w:rFonts w:ascii="Consolas" w:hAnsi="Consolas"/>
          <w:sz w:val="18"/>
        </w:rPr>
        <w:t>Encoding:                UTF-8</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Parquet provides 60-80% storage reduction compared to CSV and 3-10x faster read performance for analytical queries. Use Parquet as the default format for data lake ingestion.</w:t>
      </w:r>
    </w:p>
    <w:p/>
    <w:p>
      <w:r>
        <w:br w:type="page"/>
      </w:r>
    </w:p>
    <w:p>
      <w:pPr>
        <w:pStyle w:val="Heading1"/>
      </w:pPr>
      <w:r>
        <w:t>5. Partitioned File Operations</w:t>
      </w:r>
    </w:p>
    <w:p>
      <w:r>
        <w:t>Partitioned file writing organizes output into directory structures based on column values, enabling partition pruning in downstream query engines.</w:t>
      </w:r>
    </w:p>
    <w:p>
      <w:pPr>
        <w:pStyle w:val="Heading2"/>
      </w:pPr>
      <w:r>
        <w:t>5.1 Partition Strategies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Strategy</w:t>
            </w:r>
          </w:p>
        </w:tc>
        <w:tc>
          <w:tcPr>
            <w:tcW w:type="dxa" w:w="3135"/>
            <w:shd w:fill="0C548A" w:val="clear"/>
          </w:tcPr>
          <w:p>
            <w:r>
              <w:rPr>
                <w:b/>
                <w:color w:val="FFFFFF"/>
                <w:sz w:val="20"/>
              </w:rPr>
              <w:t>Directory Pattern</w:t>
            </w:r>
          </w:p>
        </w:tc>
        <w:tc>
          <w:tcPr>
            <w:tcW w:type="dxa" w:w="3135"/>
            <w:shd w:fill="0C548A" w:val="clear"/>
          </w:tcPr>
          <w:p>
            <w:r>
              <w:rPr>
                <w:b/>
                <w:color w:val="FFFFFF"/>
                <w:sz w:val="20"/>
              </w:rPr>
              <w:t>Use Case</w:t>
            </w:r>
          </w:p>
        </w:tc>
      </w:tr>
      <w:tr>
        <w:tc>
          <w:tcPr>
            <w:tcW w:type="dxa" w:w="3135"/>
          </w:tcPr>
          <w:p>
            <w:r>
              <w:rPr>
                <w:sz w:val="20"/>
              </w:rPr>
              <w:t>Date-based</w:t>
            </w:r>
          </w:p>
        </w:tc>
        <w:tc>
          <w:tcPr>
            <w:tcW w:type="dxa" w:w="3135"/>
          </w:tcPr>
          <w:p>
            <w:r>
              <w:rPr>
                <w:sz w:val="20"/>
              </w:rPr>
              <w:t>/year=2024/month=01/day=15/</w:t>
            </w:r>
          </w:p>
        </w:tc>
        <w:tc>
          <w:tcPr>
            <w:tcW w:type="dxa" w:w="3135"/>
          </w:tcPr>
          <w:p>
            <w:r>
              <w:rPr>
                <w:sz w:val="20"/>
              </w:rPr>
              <w:t>Time-series data, event logs</w:t>
            </w:r>
          </w:p>
        </w:tc>
      </w:tr>
      <w:tr>
        <w:tc>
          <w:tcPr>
            <w:tcW w:type="dxa" w:w="3135"/>
            <w:shd w:fill="F4F6FA" w:val="clear"/>
          </w:tcPr>
          <w:p>
            <w:r>
              <w:rPr>
                <w:sz w:val="20"/>
              </w:rPr>
              <w:t>Key-based</w:t>
            </w:r>
          </w:p>
        </w:tc>
        <w:tc>
          <w:tcPr>
            <w:tcW w:type="dxa" w:w="3135"/>
            <w:shd w:fill="F4F6FA" w:val="clear"/>
          </w:tcPr>
          <w:p>
            <w:r>
              <w:rPr>
                <w:sz w:val="20"/>
              </w:rPr>
              <w:t>/region=US/state=CA/</w:t>
            </w:r>
          </w:p>
        </w:tc>
        <w:tc>
          <w:tcPr>
            <w:tcW w:type="dxa" w:w="3135"/>
            <w:shd w:fill="F4F6FA" w:val="clear"/>
          </w:tcPr>
          <w:p>
            <w:r>
              <w:rPr>
                <w:sz w:val="20"/>
              </w:rPr>
              <w:t>Geographic or category partitioning</w:t>
            </w:r>
          </w:p>
        </w:tc>
      </w:tr>
      <w:tr>
        <w:tc>
          <w:tcPr>
            <w:tcW w:type="dxa" w:w="3135"/>
          </w:tcPr>
          <w:p>
            <w:r>
              <w:rPr>
                <w:sz w:val="20"/>
              </w:rPr>
              <w:t>Composite</w:t>
            </w:r>
          </w:p>
        </w:tc>
        <w:tc>
          <w:tcPr>
            <w:tcW w:type="dxa" w:w="3135"/>
          </w:tcPr>
          <w:p>
            <w:r>
              <w:rPr>
                <w:sz w:val="20"/>
              </w:rPr>
              <w:t>/year=2024/region=US/</w:t>
            </w:r>
          </w:p>
        </w:tc>
        <w:tc>
          <w:tcPr>
            <w:tcW w:type="dxa" w:w="3135"/>
          </w:tcPr>
          <w:p>
            <w:r>
              <w:rPr>
                <w:sz w:val="20"/>
              </w:rPr>
              <w:t>Multi-dimensional partitioning</w:t>
            </w:r>
          </w:p>
        </w:tc>
      </w:tr>
      <w:tr>
        <w:tc>
          <w:tcPr>
            <w:tcW w:type="dxa" w:w="3135"/>
            <w:shd w:fill="F4F6FA" w:val="clear"/>
          </w:tcPr>
          <w:p>
            <w:r>
              <w:rPr>
                <w:sz w:val="20"/>
              </w:rPr>
              <w:t>Hash-based</w:t>
            </w:r>
          </w:p>
        </w:tc>
        <w:tc>
          <w:tcPr>
            <w:tcW w:type="dxa" w:w="3135"/>
            <w:shd w:fill="F4F6FA" w:val="clear"/>
          </w:tcPr>
          <w:p>
            <w:r>
              <w:rPr>
                <w:sz w:val="20"/>
              </w:rPr>
              <w:t>/bucket=00/ to /bucket=99/</w:t>
            </w:r>
          </w:p>
        </w:tc>
        <w:tc>
          <w:tcPr>
            <w:tcW w:type="dxa" w:w="3135"/>
            <w:shd w:fill="F4F6FA" w:val="clear"/>
          </w:tcPr>
          <w:p>
            <w:r>
              <w:rPr>
                <w:sz w:val="20"/>
              </w:rPr>
              <w:t>Even distribution for parallel processing</w:t>
            </w:r>
          </w:p>
        </w:tc>
      </w:tr>
    </w:tbl>
    <w:p/>
    <w:p>
      <w:pPr>
        <w:pStyle w:val="Heading2"/>
      </w:pPr>
      <w:r>
        <w:t>5.2 Partition Configuration in IDMC</w:t>
      </w:r>
    </w:p>
    <w:p>
      <w:pPr>
        <w:pStyle w:val="NoSpacing"/>
        <w:shd w:fill="F5F5F5" w:val="clear"/>
        <w:ind w:left="432"/>
      </w:pPr>
      <w:r>
        <w:rPr>
          <w:rFonts w:ascii="Consolas" w:hAnsi="Consolas"/>
          <w:sz w:val="18"/>
        </w:rPr>
        <w:t>Target Properties:</w:t>
      </w:r>
    </w:p>
    <w:p>
      <w:pPr>
        <w:pStyle w:val="NoSpacing"/>
        <w:shd w:fill="F5F5F5" w:val="clear"/>
        <w:ind w:left="432"/>
      </w:pPr>
      <w:r>
        <w:rPr>
          <w:rFonts w:ascii="Consolas" w:hAnsi="Consolas"/>
          <w:sz w:val="18"/>
        </w:rPr>
        <w:t xml:space="preserve">  Partition Column(s):   year, month, region</w:t>
      </w:r>
    </w:p>
    <w:p>
      <w:pPr>
        <w:pStyle w:val="NoSpacing"/>
        <w:shd w:fill="F5F5F5" w:val="clear"/>
        <w:ind w:left="432"/>
      </w:pPr>
      <w:r>
        <w:rPr>
          <w:rFonts w:ascii="Consolas" w:hAnsi="Consolas"/>
          <w:sz w:val="18"/>
        </w:rPr>
        <w:t xml:space="preserve">  Output Directory:      s3://data-lake/curated/sales/</w:t>
      </w:r>
    </w:p>
    <w:p>
      <w:pPr>
        <w:pStyle w:val="NoSpacing"/>
        <w:shd w:fill="F5F5F5" w:val="clear"/>
        <w:ind w:left="432"/>
      </w:pPr>
      <w:r>
        <w:rPr>
          <w:rFonts w:ascii="Consolas" w:hAnsi="Consolas"/>
          <w:sz w:val="18"/>
        </w:rPr>
        <w:t xml:space="preserve">  File Naming Pattern:   part-{partition}-{sequence}.parquet</w:t>
      </w:r>
    </w:p>
    <w:p>
      <w:pPr>
        <w:pStyle w:val="NoSpacing"/>
        <w:shd w:fill="F5F5F5" w:val="clear"/>
        <w:ind w:left="432"/>
      </w:pPr>
      <w:r>
        <w:rPr>
          <w:rFonts w:ascii="Consolas" w:hAnsi="Consolas"/>
          <w:sz w:val="18"/>
        </w:rPr>
        <w:t xml:space="preserve">  Max Records Per File:  1,000,000</w:t>
      </w:r>
    </w:p>
    <w:p>
      <w:pPr>
        <w:pStyle w:val="NoSpacing"/>
        <w:shd w:fill="F5F5F5" w:val="clear"/>
        <w:ind w:left="432"/>
      </w:pPr>
      <w:r>
        <w:rPr>
          <w:rFonts w:ascii="Consolas" w:hAnsi="Consolas"/>
          <w:sz w:val="18"/>
        </w:rPr>
        <w:t xml:space="preserve">  Overwrite Mode:        Overwrite partition (preserve other partitions)</w:t>
      </w:r>
    </w:p>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Avoid over-partitioning (too many small files). Each partition directory should contain files of at least 128 MB for optimal query engine performance. Use composite keys judiciously.</w:t>
      </w:r>
    </w:p>
    <w:p/>
    <w:p>
      <w:r>
        <w:br w:type="page"/>
      </w:r>
    </w:p>
    <w:p>
      <w:pPr>
        <w:pStyle w:val="Heading1"/>
      </w:pPr>
      <w:r>
        <w:t>6. Compression Strategies</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Algorithm</w:t>
            </w:r>
          </w:p>
        </w:tc>
        <w:tc>
          <w:tcPr>
            <w:tcW w:type="dxa" w:w="1881"/>
            <w:shd w:fill="0C548A" w:val="clear"/>
          </w:tcPr>
          <w:p>
            <w:r>
              <w:rPr>
                <w:b/>
                <w:color w:val="FFFFFF"/>
                <w:sz w:val="20"/>
              </w:rPr>
              <w:t>Ratio</w:t>
            </w:r>
          </w:p>
        </w:tc>
        <w:tc>
          <w:tcPr>
            <w:tcW w:type="dxa" w:w="1881"/>
            <w:shd w:fill="0C548A" w:val="clear"/>
          </w:tcPr>
          <w:p>
            <w:r>
              <w:rPr>
                <w:b/>
                <w:color w:val="FFFFFF"/>
                <w:sz w:val="20"/>
              </w:rPr>
              <w:t>Speed</w:t>
            </w:r>
          </w:p>
        </w:tc>
        <w:tc>
          <w:tcPr>
            <w:tcW w:type="dxa" w:w="1881"/>
            <w:shd w:fill="0C548A" w:val="clear"/>
          </w:tcPr>
          <w:p>
            <w:r>
              <w:rPr>
                <w:b/>
                <w:color w:val="FFFFFF"/>
                <w:sz w:val="20"/>
              </w:rPr>
              <w:t>CPU Cost</w:t>
            </w:r>
          </w:p>
        </w:tc>
        <w:tc>
          <w:tcPr>
            <w:tcW w:type="dxa" w:w="1881"/>
            <w:shd w:fill="0C548A" w:val="clear"/>
          </w:tcPr>
          <w:p>
            <w:r>
              <w:rPr>
                <w:b/>
                <w:color w:val="FFFFFF"/>
                <w:sz w:val="20"/>
              </w:rPr>
              <w:t>Best For</w:t>
            </w:r>
          </w:p>
        </w:tc>
      </w:tr>
      <w:tr>
        <w:tc>
          <w:tcPr>
            <w:tcW w:type="dxa" w:w="1881"/>
          </w:tcPr>
          <w:p>
            <w:r>
              <w:rPr>
                <w:sz w:val="20"/>
              </w:rPr>
              <w:t>Snappy</w:t>
            </w:r>
          </w:p>
        </w:tc>
        <w:tc>
          <w:tcPr>
            <w:tcW w:type="dxa" w:w="1881"/>
          </w:tcPr>
          <w:p>
            <w:r>
              <w:rPr>
                <w:sz w:val="20"/>
              </w:rPr>
              <w:t>Moderate (2-4x)</w:t>
            </w:r>
          </w:p>
        </w:tc>
        <w:tc>
          <w:tcPr>
            <w:tcW w:type="dxa" w:w="1881"/>
          </w:tcPr>
          <w:p>
            <w:r>
              <w:rPr>
                <w:sz w:val="20"/>
              </w:rPr>
              <w:t>Very fast</w:t>
            </w:r>
          </w:p>
        </w:tc>
        <w:tc>
          <w:tcPr>
            <w:tcW w:type="dxa" w:w="1881"/>
          </w:tcPr>
          <w:p>
            <w:r>
              <w:rPr>
                <w:sz w:val="20"/>
              </w:rPr>
              <w:t>Low</w:t>
            </w:r>
          </w:p>
        </w:tc>
        <w:tc>
          <w:tcPr>
            <w:tcW w:type="dxa" w:w="1881"/>
          </w:tcPr>
          <w:p>
            <w:r>
              <w:rPr>
                <w:sz w:val="20"/>
              </w:rPr>
              <w:t>Default for Parquet/Avro - balanced</w:t>
            </w:r>
          </w:p>
        </w:tc>
      </w:tr>
      <w:tr>
        <w:tc>
          <w:tcPr>
            <w:tcW w:type="dxa" w:w="1881"/>
            <w:shd w:fill="F4F6FA" w:val="clear"/>
          </w:tcPr>
          <w:p>
            <w:r>
              <w:rPr>
                <w:sz w:val="20"/>
              </w:rPr>
              <w:t>GZIP</w:t>
            </w:r>
          </w:p>
        </w:tc>
        <w:tc>
          <w:tcPr>
            <w:tcW w:type="dxa" w:w="1881"/>
            <w:shd w:fill="F4F6FA" w:val="clear"/>
          </w:tcPr>
          <w:p>
            <w:r>
              <w:rPr>
                <w:sz w:val="20"/>
              </w:rPr>
              <w:t>High (5-8x)</w:t>
            </w:r>
          </w:p>
        </w:tc>
        <w:tc>
          <w:tcPr>
            <w:tcW w:type="dxa" w:w="1881"/>
            <w:shd w:fill="F4F6FA" w:val="clear"/>
          </w:tcPr>
          <w:p>
            <w:r>
              <w:rPr>
                <w:sz w:val="20"/>
              </w:rPr>
              <w:t>Slow</w:t>
            </w:r>
          </w:p>
        </w:tc>
        <w:tc>
          <w:tcPr>
            <w:tcW w:type="dxa" w:w="1881"/>
            <w:shd w:fill="F4F6FA" w:val="clear"/>
          </w:tcPr>
          <w:p>
            <w:r>
              <w:rPr>
                <w:sz w:val="20"/>
              </w:rPr>
              <w:t>High</w:t>
            </w:r>
          </w:p>
        </w:tc>
        <w:tc>
          <w:tcPr>
            <w:tcW w:type="dxa" w:w="1881"/>
            <w:shd w:fill="F4F6FA" w:val="clear"/>
          </w:tcPr>
          <w:p>
            <w:r>
              <w:rPr>
                <w:sz w:val="20"/>
              </w:rPr>
              <w:t>Archive storage, CSV files</w:t>
            </w:r>
          </w:p>
        </w:tc>
      </w:tr>
      <w:tr>
        <w:tc>
          <w:tcPr>
            <w:tcW w:type="dxa" w:w="1881"/>
          </w:tcPr>
          <w:p>
            <w:r>
              <w:rPr>
                <w:sz w:val="20"/>
              </w:rPr>
              <w:t>ZSTD</w:t>
            </w:r>
          </w:p>
        </w:tc>
        <w:tc>
          <w:tcPr>
            <w:tcW w:type="dxa" w:w="1881"/>
          </w:tcPr>
          <w:p>
            <w:r>
              <w:rPr>
                <w:sz w:val="20"/>
              </w:rPr>
              <w:t>High (5-8x)</w:t>
            </w:r>
          </w:p>
        </w:tc>
        <w:tc>
          <w:tcPr>
            <w:tcW w:type="dxa" w:w="1881"/>
          </w:tcPr>
          <w:p>
            <w:r>
              <w:rPr>
                <w:sz w:val="20"/>
              </w:rPr>
              <w:t>Fast</w:t>
            </w:r>
          </w:p>
        </w:tc>
        <w:tc>
          <w:tcPr>
            <w:tcW w:type="dxa" w:w="1881"/>
          </w:tcPr>
          <w:p>
            <w:r>
              <w:rPr>
                <w:sz w:val="20"/>
              </w:rPr>
              <w:t>Moderate</w:t>
            </w:r>
          </w:p>
        </w:tc>
        <w:tc>
          <w:tcPr>
            <w:tcW w:type="dxa" w:w="1881"/>
          </w:tcPr>
          <w:p>
            <w:r>
              <w:rPr>
                <w:sz w:val="20"/>
              </w:rPr>
              <w:t>Best ratio-to-speed for Parquet</w:t>
            </w:r>
          </w:p>
        </w:tc>
      </w:tr>
      <w:tr>
        <w:tc>
          <w:tcPr>
            <w:tcW w:type="dxa" w:w="1881"/>
            <w:shd w:fill="F4F6FA" w:val="clear"/>
          </w:tcPr>
          <w:p>
            <w:r>
              <w:rPr>
                <w:sz w:val="20"/>
              </w:rPr>
              <w:t>LZ4</w:t>
            </w:r>
          </w:p>
        </w:tc>
        <w:tc>
          <w:tcPr>
            <w:tcW w:type="dxa" w:w="1881"/>
            <w:shd w:fill="F4F6FA" w:val="clear"/>
          </w:tcPr>
          <w:p>
            <w:r>
              <w:rPr>
                <w:sz w:val="20"/>
              </w:rPr>
              <w:t>Low (2-3x)</w:t>
            </w:r>
          </w:p>
        </w:tc>
        <w:tc>
          <w:tcPr>
            <w:tcW w:type="dxa" w:w="1881"/>
            <w:shd w:fill="F4F6FA" w:val="clear"/>
          </w:tcPr>
          <w:p>
            <w:r>
              <w:rPr>
                <w:sz w:val="20"/>
              </w:rPr>
              <w:t>Fastest</w:t>
            </w:r>
          </w:p>
        </w:tc>
        <w:tc>
          <w:tcPr>
            <w:tcW w:type="dxa" w:w="1881"/>
            <w:shd w:fill="F4F6FA" w:val="clear"/>
          </w:tcPr>
          <w:p>
            <w:r>
              <w:rPr>
                <w:sz w:val="20"/>
              </w:rPr>
              <w:t>Lowest</w:t>
            </w:r>
          </w:p>
        </w:tc>
        <w:tc>
          <w:tcPr>
            <w:tcW w:type="dxa" w:w="1881"/>
            <w:shd w:fill="F4F6FA" w:val="clear"/>
          </w:tcPr>
          <w:p>
            <w:r>
              <w:rPr>
                <w:sz w:val="20"/>
              </w:rPr>
              <w:t>Real-time/streaming workloads</w:t>
            </w:r>
          </w:p>
        </w:tc>
      </w:tr>
      <w:tr>
        <w:tc>
          <w:tcPr>
            <w:tcW w:type="dxa" w:w="1881"/>
          </w:tcPr>
          <w:p>
            <w:r>
              <w:rPr>
                <w:sz w:val="20"/>
              </w:rPr>
              <w:t>BZIP2</w:t>
            </w:r>
          </w:p>
        </w:tc>
        <w:tc>
          <w:tcPr>
            <w:tcW w:type="dxa" w:w="1881"/>
          </w:tcPr>
          <w:p>
            <w:r>
              <w:rPr>
                <w:sz w:val="20"/>
              </w:rPr>
              <w:t>Highest (8-10x)</w:t>
            </w:r>
          </w:p>
        </w:tc>
        <w:tc>
          <w:tcPr>
            <w:tcW w:type="dxa" w:w="1881"/>
          </w:tcPr>
          <w:p>
            <w:r>
              <w:rPr>
                <w:sz w:val="20"/>
              </w:rPr>
              <w:t>Slowest</w:t>
            </w:r>
          </w:p>
        </w:tc>
        <w:tc>
          <w:tcPr>
            <w:tcW w:type="dxa" w:w="1881"/>
          </w:tcPr>
          <w:p>
            <w:r>
              <w:rPr>
                <w:sz w:val="20"/>
              </w:rPr>
              <w:t>Highest</w:t>
            </w:r>
          </w:p>
        </w:tc>
        <w:tc>
          <w:tcPr>
            <w:tcW w:type="dxa" w:w="1881"/>
          </w:tcPr>
          <w:p>
            <w:r>
              <w:rPr>
                <w:sz w:val="20"/>
              </w:rPr>
              <w:t>Maximum compression for cold storage</w:t>
            </w:r>
          </w:p>
        </w:tc>
      </w:tr>
    </w:tbl>
    <w:p/>
    <w:p>
      <w:r>
        <w:t>Choose compression based on the trade-off between storage cost, processing speed, and CPU availability on the Secure Agent.</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ZSTD compression for Parquet files in data lake scenarios. It provides near-GZIP compression ratios with Snappy-level decompression speed, offering the best overall balance.</w:t>
      </w:r>
    </w:p>
    <w:p/>
    <w:p>
      <w:r>
        <w:br w:type="page"/>
      </w:r>
    </w:p>
    <w:p>
      <w:pPr>
        <w:pStyle w:val="Heading1"/>
      </w:pPr>
      <w:r>
        <w:t>7. Wildcard File Reading</w:t>
      </w:r>
    </w:p>
    <w:p>
      <w:r>
        <w:t>Wildcard patterns allow reading multiple files matching a pattern in a single mapping execution.</w:t>
      </w:r>
    </w:p>
    <w:p>
      <w:pPr>
        <w:pStyle w:val="Heading2"/>
      </w:pPr>
      <w:r>
        <w:t>7.1 Supported Patterns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Pattern</w:t>
            </w:r>
          </w:p>
        </w:tc>
        <w:tc>
          <w:tcPr>
            <w:tcW w:type="dxa" w:w="3135"/>
            <w:shd w:fill="0C548A" w:val="clear"/>
          </w:tcPr>
          <w:p>
            <w:r>
              <w:rPr>
                <w:b/>
                <w:color w:val="FFFFFF"/>
                <w:sz w:val="20"/>
              </w:rPr>
              <w:t>Matches</w:t>
            </w:r>
          </w:p>
        </w:tc>
        <w:tc>
          <w:tcPr>
            <w:tcW w:type="dxa" w:w="3135"/>
            <w:shd w:fill="0C548A" w:val="clear"/>
          </w:tcPr>
          <w:p>
            <w:r>
              <w:rPr>
                <w:b/>
                <w:color w:val="FFFFFF"/>
                <w:sz w:val="20"/>
              </w:rPr>
              <w:t>Example</w:t>
            </w:r>
          </w:p>
        </w:tc>
      </w:tr>
      <w:tr>
        <w:tc>
          <w:tcPr>
            <w:tcW w:type="dxa" w:w="3135"/>
          </w:tcPr>
          <w:p>
            <w:r>
              <w:rPr>
                <w:sz w:val="20"/>
              </w:rPr>
              <w:t>*</w:t>
            </w:r>
          </w:p>
        </w:tc>
        <w:tc>
          <w:tcPr>
            <w:tcW w:type="dxa" w:w="3135"/>
          </w:tcPr>
          <w:p>
            <w:r>
              <w:rPr>
                <w:sz w:val="20"/>
              </w:rPr>
              <w:t>Any characters in filename</w:t>
            </w:r>
          </w:p>
        </w:tc>
        <w:tc>
          <w:tcPr>
            <w:tcW w:type="dxa" w:w="3135"/>
          </w:tcPr>
          <w:p>
            <w:r>
              <w:rPr>
                <w:sz w:val="20"/>
              </w:rPr>
              <w:t>sales_*.csv -&gt; sales_2024.csv, sales_2025.csv</w:t>
            </w:r>
          </w:p>
        </w:tc>
      </w:tr>
      <w:tr>
        <w:tc>
          <w:tcPr>
            <w:tcW w:type="dxa" w:w="3135"/>
            <w:shd w:fill="F4F6FA" w:val="clear"/>
          </w:tcPr>
          <w:p>
            <w:r>
              <w:rPr>
                <w:sz w:val="20"/>
              </w:rPr>
              <w:t>?</w:t>
            </w:r>
          </w:p>
        </w:tc>
        <w:tc>
          <w:tcPr>
            <w:tcW w:type="dxa" w:w="3135"/>
            <w:shd w:fill="F4F6FA" w:val="clear"/>
          </w:tcPr>
          <w:p>
            <w:r>
              <w:rPr>
                <w:sz w:val="20"/>
              </w:rPr>
              <w:t>Single character</w:t>
            </w:r>
          </w:p>
        </w:tc>
        <w:tc>
          <w:tcPr>
            <w:tcW w:type="dxa" w:w="3135"/>
            <w:shd w:fill="F4F6FA" w:val="clear"/>
          </w:tcPr>
          <w:p>
            <w:r>
              <w:rPr>
                <w:sz w:val="20"/>
              </w:rPr>
              <w:t>data_202?.csv -&gt; data_2024.csv, data_2025.csv</w:t>
            </w:r>
          </w:p>
        </w:tc>
      </w:tr>
      <w:tr>
        <w:tc>
          <w:tcPr>
            <w:tcW w:type="dxa" w:w="3135"/>
          </w:tcPr>
          <w:p>
            <w:r>
              <w:rPr>
                <w:sz w:val="20"/>
              </w:rPr>
              <w:t>**</w:t>
            </w:r>
          </w:p>
        </w:tc>
        <w:tc>
          <w:tcPr>
            <w:tcW w:type="dxa" w:w="3135"/>
          </w:tcPr>
          <w:p>
            <w:r>
              <w:rPr>
                <w:sz w:val="20"/>
              </w:rPr>
              <w:t>Recursive directory traversal</w:t>
            </w:r>
          </w:p>
        </w:tc>
        <w:tc>
          <w:tcPr>
            <w:tcW w:type="dxa" w:w="3135"/>
          </w:tcPr>
          <w:p>
            <w:r>
              <w:rPr>
                <w:sz w:val="20"/>
              </w:rPr>
              <w:t>**/output/*.parquet -&gt; any nested output directory</w:t>
            </w:r>
          </w:p>
        </w:tc>
      </w:tr>
      <w:tr>
        <w:tc>
          <w:tcPr>
            <w:tcW w:type="dxa" w:w="3135"/>
            <w:shd w:fill="F4F6FA" w:val="clear"/>
          </w:tcPr>
          <w:p>
            <w:r>
              <w:rPr>
                <w:sz w:val="20"/>
              </w:rPr>
              <w:t>[0-9]</w:t>
            </w:r>
          </w:p>
        </w:tc>
        <w:tc>
          <w:tcPr>
            <w:tcW w:type="dxa" w:w="3135"/>
            <w:shd w:fill="F4F6FA" w:val="clear"/>
          </w:tcPr>
          <w:p>
            <w:r>
              <w:rPr>
                <w:sz w:val="20"/>
              </w:rPr>
              <w:t>Character range</w:t>
            </w:r>
          </w:p>
        </w:tc>
        <w:tc>
          <w:tcPr>
            <w:tcW w:type="dxa" w:w="3135"/>
            <w:shd w:fill="F4F6FA" w:val="clear"/>
          </w:tcPr>
          <w:p>
            <w:r>
              <w:rPr>
                <w:sz w:val="20"/>
              </w:rPr>
              <w:t>part_[0-9].csv -&gt; part_0.csv through part_9.csv</w:t>
            </w:r>
          </w:p>
        </w:tc>
      </w:tr>
    </w:tbl>
    <w:p/>
    <w:p>
      <w:pPr>
        <w:pStyle w:val="Heading2"/>
      </w:pPr>
      <w:r>
        <w:t>7.2 Wildcard Configuration</w:t>
      </w:r>
    </w:p>
    <w:p>
      <w:pPr>
        <w:pStyle w:val="NoSpacing"/>
        <w:shd w:fill="F5F5F5" w:val="clear"/>
        <w:ind w:left="432"/>
      </w:pPr>
      <w:r>
        <w:rPr>
          <w:rFonts w:ascii="Consolas" w:hAnsi="Consolas"/>
          <w:sz w:val="18"/>
        </w:rPr>
        <w:t>Source Properties:</w:t>
      </w:r>
    </w:p>
    <w:p>
      <w:pPr>
        <w:pStyle w:val="NoSpacing"/>
        <w:shd w:fill="F5F5F5" w:val="clear"/>
        <w:ind w:left="432"/>
      </w:pPr>
      <w:r>
        <w:rPr>
          <w:rFonts w:ascii="Consolas" w:hAnsi="Consolas"/>
          <w:sz w:val="18"/>
        </w:rPr>
        <w:t xml:space="preserve">  File Path:             s3://data-lake/raw/sales/year=2024/**/*.parquet</w:t>
      </w:r>
    </w:p>
    <w:p>
      <w:pPr>
        <w:pStyle w:val="NoSpacing"/>
        <w:shd w:fill="F5F5F5" w:val="clear"/>
        <w:ind w:left="432"/>
      </w:pPr>
      <w:r>
        <w:rPr>
          <w:rFonts w:ascii="Consolas" w:hAnsi="Consolas"/>
          <w:sz w:val="18"/>
        </w:rPr>
        <w:t xml:space="preserve">  Recursive:             Yes</w:t>
      </w:r>
    </w:p>
    <w:p>
      <w:pPr>
        <w:pStyle w:val="NoSpacing"/>
        <w:shd w:fill="F5F5F5" w:val="clear"/>
        <w:ind w:left="432"/>
      </w:pPr>
      <w:r>
        <w:rPr>
          <w:rFonts w:ascii="Consolas" w:hAnsi="Consolas"/>
          <w:sz w:val="18"/>
        </w:rPr>
        <w:t xml:space="preserve">  File Name Column:      $$SourceFileName (session parameter)</w:t>
      </w:r>
    </w:p>
    <w:p>
      <w:pPr>
        <w:pStyle w:val="NoSpacing"/>
        <w:shd w:fill="F5F5F5" w:val="clear"/>
        <w:ind w:left="432"/>
      </w:pPr>
      <w:r>
        <w:rPr>
          <w:rFonts w:ascii="Consolas" w:hAnsi="Consolas"/>
          <w:sz w:val="18"/>
        </w:rPr>
        <w:t xml:space="preserve">  Include Subdirectories: Yes</w:t>
      </w:r>
    </w:p>
    <w:p>
      <w:pPr>
        <w:pStyle w:val="NoSpacing"/>
        <w:shd w:fill="F5F5F5" w:val="clear"/>
        <w:ind w:left="432"/>
      </w:pPr>
      <w:r>
        <w:rPr>
          <w:rFonts w:ascii="Consolas" w:hAnsi="Consolas"/>
          <w:sz w:val="18"/>
        </w:rPr>
        <w:t xml:space="preserve">  File Filter:           *.parquet (exclude _SUCCESS, _metadata files)</w:t>
      </w:r>
    </w:p>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The $$SourceFileName session parameter captures the name of the file currently being processed. Use this for audit logging and lineage tracking in multi-file ingestion patterns.</w:t>
      </w:r>
    </w:p>
    <w:p/>
    <w:p>
      <w:r>
        <w:br w:type="page"/>
      </w:r>
    </w:p>
    <w:p>
      <w:pPr>
        <w:pStyle w:val="Heading1"/>
      </w:pPr>
      <w:r>
        <w:t>8. Directory Monitoring</w:t>
      </w:r>
    </w:p>
    <w:p>
      <w:r>
        <w:t>Directory monitoring enables event-driven processing by detecting new files in cloud storage locations.</w:t>
      </w:r>
    </w:p>
    <w:p>
      <w:pPr>
        <w:pStyle w:val="Heading2"/>
      </w:pPr>
      <w:r>
        <w:t>8.1 Event-Based Triggers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Cloud</w:t>
            </w:r>
          </w:p>
        </w:tc>
        <w:tc>
          <w:tcPr>
            <w:tcW w:type="dxa" w:w="2351"/>
            <w:shd w:fill="0C548A" w:val="clear"/>
          </w:tcPr>
          <w:p>
            <w:r>
              <w:rPr>
                <w:b/>
                <w:color w:val="FFFFFF"/>
                <w:sz w:val="20"/>
              </w:rPr>
              <w:t>Event Service</w:t>
            </w:r>
          </w:p>
        </w:tc>
        <w:tc>
          <w:tcPr>
            <w:tcW w:type="dxa" w:w="2351"/>
            <w:shd w:fill="0C548A" w:val="clear"/>
          </w:tcPr>
          <w:p>
            <w:r>
              <w:rPr>
                <w:b/>
                <w:color w:val="FFFFFF"/>
                <w:sz w:val="20"/>
              </w:rPr>
              <w:t>Trigger Mechanism</w:t>
            </w:r>
          </w:p>
        </w:tc>
        <w:tc>
          <w:tcPr>
            <w:tcW w:type="dxa" w:w="2351"/>
            <w:shd w:fill="0C548A" w:val="clear"/>
          </w:tcPr>
          <w:p>
            <w:r>
              <w:rPr>
                <w:b/>
                <w:color w:val="FFFFFF"/>
                <w:sz w:val="20"/>
              </w:rPr>
              <w:t>Latency</w:t>
            </w:r>
          </w:p>
        </w:tc>
      </w:tr>
      <w:tr>
        <w:tc>
          <w:tcPr>
            <w:tcW w:type="dxa" w:w="2351"/>
          </w:tcPr>
          <w:p>
            <w:r>
              <w:rPr>
                <w:sz w:val="20"/>
              </w:rPr>
              <w:t>AWS S3</w:t>
            </w:r>
          </w:p>
        </w:tc>
        <w:tc>
          <w:tcPr>
            <w:tcW w:type="dxa" w:w="2351"/>
          </w:tcPr>
          <w:p>
            <w:r>
              <w:rPr>
                <w:sz w:val="20"/>
              </w:rPr>
              <w:t>S3 Event Notifications</w:t>
            </w:r>
          </w:p>
        </w:tc>
        <w:tc>
          <w:tcPr>
            <w:tcW w:type="dxa" w:w="2351"/>
          </w:tcPr>
          <w:p>
            <w:r>
              <w:rPr>
                <w:sz w:val="20"/>
              </w:rPr>
              <w:t>SNS/SQS -&gt; IDMC File Listener</w:t>
            </w:r>
          </w:p>
        </w:tc>
        <w:tc>
          <w:tcPr>
            <w:tcW w:type="dxa" w:w="2351"/>
          </w:tcPr>
          <w:p>
            <w:r>
              <w:rPr>
                <w:sz w:val="20"/>
              </w:rPr>
              <w:t>Seconds</w:t>
            </w:r>
          </w:p>
        </w:tc>
      </w:tr>
      <w:tr>
        <w:tc>
          <w:tcPr>
            <w:tcW w:type="dxa" w:w="2351"/>
            <w:shd w:fill="F4F6FA" w:val="clear"/>
          </w:tcPr>
          <w:p>
            <w:r>
              <w:rPr>
                <w:sz w:val="20"/>
              </w:rPr>
              <w:t>Azure ADLS</w:t>
            </w:r>
          </w:p>
        </w:tc>
        <w:tc>
          <w:tcPr>
            <w:tcW w:type="dxa" w:w="2351"/>
            <w:shd w:fill="F4F6FA" w:val="clear"/>
          </w:tcPr>
          <w:p>
            <w:r>
              <w:rPr>
                <w:sz w:val="20"/>
              </w:rPr>
              <w:t>Event Grid</w:t>
            </w:r>
          </w:p>
        </w:tc>
        <w:tc>
          <w:tcPr>
            <w:tcW w:type="dxa" w:w="2351"/>
            <w:shd w:fill="F4F6FA" w:val="clear"/>
          </w:tcPr>
          <w:p>
            <w:r>
              <w:rPr>
                <w:sz w:val="20"/>
              </w:rPr>
              <w:t>Event Grid -&gt; IDMC webhook</w:t>
            </w:r>
          </w:p>
        </w:tc>
        <w:tc>
          <w:tcPr>
            <w:tcW w:type="dxa" w:w="2351"/>
            <w:shd w:fill="F4F6FA" w:val="clear"/>
          </w:tcPr>
          <w:p>
            <w:r>
              <w:rPr>
                <w:sz w:val="20"/>
              </w:rPr>
              <w:t>Seconds</w:t>
            </w:r>
          </w:p>
        </w:tc>
      </w:tr>
      <w:tr>
        <w:tc>
          <w:tcPr>
            <w:tcW w:type="dxa" w:w="2351"/>
          </w:tcPr>
          <w:p>
            <w:r>
              <w:rPr>
                <w:sz w:val="20"/>
              </w:rPr>
              <w:t>GCP GCS</w:t>
            </w:r>
          </w:p>
        </w:tc>
        <w:tc>
          <w:tcPr>
            <w:tcW w:type="dxa" w:w="2351"/>
          </w:tcPr>
          <w:p>
            <w:r>
              <w:rPr>
                <w:sz w:val="20"/>
              </w:rPr>
              <w:t>Cloud Pub/Sub</w:t>
            </w:r>
          </w:p>
        </w:tc>
        <w:tc>
          <w:tcPr>
            <w:tcW w:type="dxa" w:w="2351"/>
          </w:tcPr>
          <w:p>
            <w:r>
              <w:rPr>
                <w:sz w:val="20"/>
              </w:rPr>
              <w:t>Pub/Sub notification -&gt; IDMC listener</w:t>
            </w:r>
          </w:p>
        </w:tc>
        <w:tc>
          <w:tcPr>
            <w:tcW w:type="dxa" w:w="2351"/>
          </w:tcPr>
          <w:p>
            <w:r>
              <w:rPr>
                <w:sz w:val="20"/>
              </w:rPr>
              <w:t>Seconds</w:t>
            </w:r>
          </w:p>
        </w:tc>
      </w:tr>
    </w:tbl>
    <w:p/>
    <w:p>
      <w:pPr>
        <w:pStyle w:val="Heading2"/>
      </w:pPr>
      <w:r>
        <w:t>8.2 Polling-Based Monitoring</w:t>
      </w:r>
    </w:p>
    <w:p>
      <w:r>
        <w:t>When event-based triggers are not available, use IDMC file listener with polling interval.</w:t>
      </w:r>
    </w:p>
    <w:p>
      <w:pPr>
        <w:pStyle w:val="NoSpacing"/>
        <w:shd w:fill="F5F5F5" w:val="clear"/>
        <w:ind w:left="432"/>
      </w:pPr>
      <w:r>
        <w:rPr>
          <w:rFonts w:ascii="Consolas" w:hAnsi="Consolas"/>
          <w:sz w:val="18"/>
        </w:rPr>
        <w:t>File Listener Configuration:</w:t>
      </w:r>
    </w:p>
    <w:p>
      <w:pPr>
        <w:pStyle w:val="NoSpacing"/>
        <w:shd w:fill="F5F5F5" w:val="clear"/>
        <w:ind w:left="432"/>
      </w:pPr>
      <w:r>
        <w:rPr>
          <w:rFonts w:ascii="Consolas" w:hAnsi="Consolas"/>
          <w:sz w:val="18"/>
        </w:rPr>
        <w:t xml:space="preserve">  Source Connection:     AWS_S3_PROD</w:t>
      </w:r>
    </w:p>
    <w:p>
      <w:pPr>
        <w:pStyle w:val="NoSpacing"/>
        <w:shd w:fill="F5F5F5" w:val="clear"/>
        <w:ind w:left="432"/>
      </w:pPr>
      <w:r>
        <w:rPr>
          <w:rFonts w:ascii="Consolas" w:hAnsi="Consolas"/>
          <w:sz w:val="18"/>
        </w:rPr>
        <w:t xml:space="preserve">  Monitor Path:          s3://data-lake/landing/orders/</w:t>
      </w:r>
    </w:p>
    <w:p>
      <w:pPr>
        <w:pStyle w:val="NoSpacing"/>
        <w:shd w:fill="F5F5F5" w:val="clear"/>
        <w:ind w:left="432"/>
      </w:pPr>
      <w:r>
        <w:rPr>
          <w:rFonts w:ascii="Consolas" w:hAnsi="Consolas"/>
          <w:sz w:val="18"/>
        </w:rPr>
        <w:t xml:space="preserve">  File Pattern:          order_*.csv</w:t>
      </w:r>
    </w:p>
    <w:p>
      <w:pPr>
        <w:pStyle w:val="NoSpacing"/>
        <w:shd w:fill="F5F5F5" w:val="clear"/>
        <w:ind w:left="432"/>
      </w:pPr>
      <w:r>
        <w:rPr>
          <w:rFonts w:ascii="Consolas" w:hAnsi="Consolas"/>
          <w:sz w:val="18"/>
        </w:rPr>
        <w:t xml:space="preserve">  Polling Interval:      5 minutes</w:t>
      </w:r>
    </w:p>
    <w:p>
      <w:pPr>
        <w:pStyle w:val="NoSpacing"/>
        <w:shd w:fill="F5F5F5" w:val="clear"/>
        <w:ind w:left="432"/>
      </w:pPr>
      <w:r>
        <w:rPr>
          <w:rFonts w:ascii="Consolas" w:hAnsi="Consolas"/>
          <w:sz w:val="18"/>
        </w:rPr>
        <w:t xml:space="preserve">  Trigger Condition:     File arrival (new file detected)</w:t>
      </w:r>
    </w:p>
    <w:p>
      <w:pPr>
        <w:pStyle w:val="NoSpacing"/>
        <w:shd w:fill="F5F5F5" w:val="clear"/>
        <w:ind w:left="432"/>
      </w:pPr>
      <w:r>
        <w:rPr>
          <w:rFonts w:ascii="Consolas" w:hAnsi="Consolas"/>
          <w:sz w:val="18"/>
        </w:rPr>
        <w:t xml:space="preserve">  Post-Processing:       Move to /processed/ folder</w:t>
      </w:r>
    </w:p>
    <w:p>
      <w:pPr>
        <w:pStyle w:val="NoSpacing"/>
        <w:shd w:fill="F5F5F5" w:val="clear"/>
        <w:ind w:left="432"/>
      </w:pPr>
      <w:r>
        <w:rPr>
          <w:rFonts w:ascii="Consolas" w:hAnsi="Consolas"/>
          <w:sz w:val="18"/>
        </w:rPr>
        <w:t xml:space="preserve">  Error Handling:        Move to /error/ folder</w:t>
      </w:r>
    </w:p>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Set polling intervals appropriate to your SLA. Very short intervals (&lt; 1 minute) generate excessive API calls. For sub-minute latency, use cloud-native event notifications instead of polling.</w:t>
      </w:r>
    </w:p>
    <w:p/>
    <w:p>
      <w:r>
        <w:br w:type="page"/>
      </w:r>
    </w:p>
    <w:p>
      <w:pPr>
        <w:pStyle w:val="Heading1"/>
      </w:pPr>
      <w:r>
        <w:t>9. Large File Handling</w:t>
      </w:r>
    </w:p>
    <w:p>
      <w:r>
        <w:t>Handling files larger than 5 GB requires special configuration across all cloud storage platforms.</w:t>
      </w:r>
    </w:p>
    <w:p>
      <w:pPr>
        <w:pStyle w:val="Heading2"/>
      </w:pPr>
      <w:r>
        <w:t>9.1 Multipart Upload/Download</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Cloud</w:t>
            </w:r>
          </w:p>
        </w:tc>
        <w:tc>
          <w:tcPr>
            <w:tcW w:type="dxa" w:w="2351"/>
            <w:shd w:fill="0C548A" w:val="clear"/>
          </w:tcPr>
          <w:p>
            <w:r>
              <w:rPr>
                <w:b/>
                <w:color w:val="FFFFFF"/>
                <w:sz w:val="20"/>
              </w:rPr>
              <w:t>Feature</w:t>
            </w:r>
          </w:p>
        </w:tc>
        <w:tc>
          <w:tcPr>
            <w:tcW w:type="dxa" w:w="2351"/>
            <w:shd w:fill="0C548A" w:val="clear"/>
          </w:tcPr>
          <w:p>
            <w:r>
              <w:rPr>
                <w:b/>
                <w:color w:val="FFFFFF"/>
                <w:sz w:val="20"/>
              </w:rPr>
              <w:t>Max File Size</w:t>
            </w:r>
          </w:p>
        </w:tc>
        <w:tc>
          <w:tcPr>
            <w:tcW w:type="dxa" w:w="2351"/>
            <w:shd w:fill="0C548A" w:val="clear"/>
          </w:tcPr>
          <w:p>
            <w:r>
              <w:rPr>
                <w:b/>
                <w:color w:val="FFFFFF"/>
                <w:sz w:val="20"/>
              </w:rPr>
              <w:t>Part Size</w:t>
            </w:r>
          </w:p>
        </w:tc>
      </w:tr>
      <w:tr>
        <w:tc>
          <w:tcPr>
            <w:tcW w:type="dxa" w:w="2351"/>
          </w:tcPr>
          <w:p>
            <w:r>
              <w:rPr>
                <w:sz w:val="20"/>
              </w:rPr>
              <w:t>AWS S3</w:t>
            </w:r>
          </w:p>
        </w:tc>
        <w:tc>
          <w:tcPr>
            <w:tcW w:type="dxa" w:w="2351"/>
          </w:tcPr>
          <w:p>
            <w:r>
              <w:rPr>
                <w:sz w:val="20"/>
              </w:rPr>
              <w:t>Multipart Upload</w:t>
            </w:r>
          </w:p>
        </w:tc>
        <w:tc>
          <w:tcPr>
            <w:tcW w:type="dxa" w:w="2351"/>
          </w:tcPr>
          <w:p>
            <w:r>
              <w:rPr>
                <w:sz w:val="20"/>
              </w:rPr>
              <w:t>5 TB</w:t>
            </w:r>
          </w:p>
        </w:tc>
        <w:tc>
          <w:tcPr>
            <w:tcW w:type="dxa" w:w="2351"/>
          </w:tcPr>
          <w:p>
            <w:r>
              <w:rPr>
                <w:sz w:val="20"/>
              </w:rPr>
              <w:t>5 MB - 5 GB per part</w:t>
            </w:r>
          </w:p>
        </w:tc>
      </w:tr>
      <w:tr>
        <w:tc>
          <w:tcPr>
            <w:tcW w:type="dxa" w:w="2351"/>
            <w:shd w:fill="F4F6FA" w:val="clear"/>
          </w:tcPr>
          <w:p>
            <w:r>
              <w:rPr>
                <w:sz w:val="20"/>
              </w:rPr>
              <w:t>Azure ADLS</w:t>
            </w:r>
          </w:p>
        </w:tc>
        <w:tc>
          <w:tcPr>
            <w:tcW w:type="dxa" w:w="2351"/>
            <w:shd w:fill="F4F6FA" w:val="clear"/>
          </w:tcPr>
          <w:p>
            <w:r>
              <w:rPr>
                <w:sz w:val="20"/>
              </w:rPr>
              <w:t>Block Blob Upload</w:t>
            </w:r>
          </w:p>
        </w:tc>
        <w:tc>
          <w:tcPr>
            <w:tcW w:type="dxa" w:w="2351"/>
            <w:shd w:fill="F4F6FA" w:val="clear"/>
          </w:tcPr>
          <w:p>
            <w:r>
              <w:rPr>
                <w:sz w:val="20"/>
              </w:rPr>
              <w:t>190.7 TB</w:t>
            </w:r>
          </w:p>
        </w:tc>
        <w:tc>
          <w:tcPr>
            <w:tcW w:type="dxa" w:w="2351"/>
            <w:shd w:fill="F4F6FA" w:val="clear"/>
          </w:tcPr>
          <w:p>
            <w:r>
              <w:rPr>
                <w:sz w:val="20"/>
              </w:rPr>
              <w:t>4 MB - 4000 MB per block</w:t>
            </w:r>
          </w:p>
        </w:tc>
      </w:tr>
      <w:tr>
        <w:tc>
          <w:tcPr>
            <w:tcW w:type="dxa" w:w="2351"/>
          </w:tcPr>
          <w:p>
            <w:r>
              <w:rPr>
                <w:sz w:val="20"/>
              </w:rPr>
              <w:t>GCP GCS</w:t>
            </w:r>
          </w:p>
        </w:tc>
        <w:tc>
          <w:tcPr>
            <w:tcW w:type="dxa" w:w="2351"/>
          </w:tcPr>
          <w:p>
            <w:r>
              <w:rPr>
                <w:sz w:val="20"/>
              </w:rPr>
              <w:t>Resumable Upload</w:t>
            </w:r>
          </w:p>
        </w:tc>
        <w:tc>
          <w:tcPr>
            <w:tcW w:type="dxa" w:w="2351"/>
          </w:tcPr>
          <w:p>
            <w:r>
              <w:rPr>
                <w:sz w:val="20"/>
              </w:rPr>
              <w:t>5 TB</w:t>
            </w:r>
          </w:p>
        </w:tc>
        <w:tc>
          <w:tcPr>
            <w:tcW w:type="dxa" w:w="2351"/>
          </w:tcPr>
          <w:p>
            <w:r>
              <w:rPr>
                <w:sz w:val="20"/>
              </w:rPr>
              <w:t>Configured by client</w:t>
            </w:r>
          </w:p>
        </w:tc>
      </w:tr>
    </w:tbl>
    <w:p/>
    <w:p>
      <w:pPr>
        <w:pStyle w:val="Heading2"/>
      </w:pPr>
      <w:r>
        <w:t>9.2 Configuration for Large Files</w:t>
      </w:r>
    </w:p>
    <w:p>
      <w:pPr>
        <w:pStyle w:val="NoSpacing"/>
        <w:shd w:fill="F5F5F5" w:val="clear"/>
        <w:ind w:left="432"/>
      </w:pPr>
      <w:r>
        <w:rPr>
          <w:rFonts w:ascii="Consolas" w:hAnsi="Consolas"/>
          <w:sz w:val="18"/>
        </w:rPr>
        <w:t>Session Properties for Large File Processing:</w:t>
      </w:r>
    </w:p>
    <w:p>
      <w:pPr>
        <w:pStyle w:val="NoSpacing"/>
        <w:shd w:fill="F5F5F5" w:val="clear"/>
        <w:ind w:left="432"/>
      </w:pPr>
      <w:r>
        <w:rPr>
          <w:rFonts w:ascii="Consolas" w:hAnsi="Consolas"/>
          <w:sz w:val="18"/>
        </w:rPr>
        <w:t xml:space="preserve">  DTM Buffer Size:       2 GB</w:t>
      </w:r>
    </w:p>
    <w:p>
      <w:pPr>
        <w:pStyle w:val="NoSpacing"/>
        <w:shd w:fill="F5F5F5" w:val="clear"/>
        <w:ind w:left="432"/>
      </w:pPr>
      <w:r>
        <w:rPr>
          <w:rFonts w:ascii="Consolas" w:hAnsi="Consolas"/>
          <w:sz w:val="18"/>
        </w:rPr>
        <w:t xml:space="preserve">  Line Sequential Buffer: 10 MB</w:t>
      </w:r>
    </w:p>
    <w:p>
      <w:pPr>
        <w:pStyle w:val="NoSpacing"/>
        <w:shd w:fill="F5F5F5" w:val="clear"/>
        <w:ind w:left="432"/>
      </w:pPr>
      <w:r>
        <w:rPr>
          <w:rFonts w:ascii="Consolas" w:hAnsi="Consolas"/>
          <w:sz w:val="18"/>
        </w:rPr>
        <w:t xml:space="preserve">  Multipart Upload:      Enabled (auto for files &gt; 100 MB)</w:t>
      </w:r>
    </w:p>
    <w:p>
      <w:pPr>
        <w:pStyle w:val="NoSpacing"/>
        <w:shd w:fill="F5F5F5" w:val="clear"/>
        <w:ind w:left="432"/>
      </w:pPr>
      <w:r>
        <w:rPr>
          <w:rFonts w:ascii="Consolas" w:hAnsi="Consolas"/>
          <w:sz w:val="18"/>
        </w:rPr>
        <w:t xml:space="preserve">  Part Size:             256 MB</w:t>
      </w:r>
    </w:p>
    <w:p>
      <w:pPr>
        <w:pStyle w:val="NoSpacing"/>
        <w:shd w:fill="F5F5F5" w:val="clear"/>
        <w:ind w:left="432"/>
      </w:pPr>
      <w:r>
        <w:rPr>
          <w:rFonts w:ascii="Consolas" w:hAnsi="Consolas"/>
          <w:sz w:val="18"/>
        </w:rPr>
        <w:t xml:space="preserve">  Max Concurrent Parts:  4</w:t>
      </w:r>
    </w:p>
    <w:p>
      <w:pPr>
        <w:pStyle w:val="NoSpacing"/>
        <w:shd w:fill="F5F5F5" w:val="clear"/>
        <w:ind w:left="432"/>
      </w:pPr>
      <w:r>
        <w:rPr>
          <w:rFonts w:ascii="Consolas" w:hAnsi="Consolas"/>
          <w:sz w:val="18"/>
        </w:rPr>
        <w:t xml:space="preserve">  Retry on Failure:      3 attempts with exponential backoff</w:t>
      </w:r>
    </w:p>
    <w:p/>
    <w:p>
      <w:pPr>
        <w:shd w:fill="FFEBEE" w:val="clear"/>
        <w:pBdr>
          <w:top w:val="single" w:sz="4" w:space="4" w:color="F44336"/>
          <w:left w:val="single" w:sz="12" w:space="4" w:color="F44336"/>
          <w:right w:val="single" w:sz="4" w:space="4" w:color="F44336"/>
        </w:pBdr>
        <w:spacing w:after="0"/>
        <w:ind w:left="432" w:right="432"/>
      </w:pPr>
      <w:r>
        <w:rPr>
          <w:b/>
          <w:color w:val="F44336"/>
          <w:sz w:val="20"/>
        </w:rPr>
        <w:t xml:space="preserve">  CRITICAL</w:t>
      </w:r>
    </w:p>
    <w:p>
      <w:pPr>
        <w:shd w:fill="FFEBEE" w:val="clear"/>
        <w:pBdr>
          <w:bottom w:val="single" w:sz="4" w:space="4" w:color="F44336"/>
          <w:left w:val="single" w:sz="12" w:space="4" w:color="F44336"/>
          <w:right w:val="single" w:sz="4" w:space="4" w:color="F44336"/>
        </w:pBdr>
        <w:spacing w:before="0"/>
        <w:ind w:left="432" w:right="432"/>
      </w:pPr>
      <w:r>
        <w:rPr>
          <w:color w:val="4B5563"/>
          <w:sz w:val="20"/>
        </w:rPr>
        <w:t xml:space="preserve">  Ensure Secure Agent has sufficient disk space for temporary file staging during large file operations. A 10 GB file may require up to 20 GB of temp space for transformation processing.</w:t>
      </w:r>
    </w:p>
    <w:p/>
    <w:p>
      <w:r>
        <w:br w:type="page"/>
      </w:r>
    </w:p>
    <w:p>
      <w:pPr>
        <w:pStyle w:val="Heading1"/>
      </w:pPr>
      <w:r>
        <w:t>10. Encryption &amp; Security</w:t>
      </w:r>
    </w:p>
    <w:p>
      <w:pPr>
        <w:pStyle w:val="Heading2"/>
      </w:pPr>
      <w:r>
        <w:t>10.1 Server-Side Encryption (SSE)</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Cloud</w:t>
            </w:r>
          </w:p>
        </w:tc>
        <w:tc>
          <w:tcPr>
            <w:tcW w:type="dxa" w:w="2351"/>
            <w:shd w:fill="0C548A" w:val="clear"/>
          </w:tcPr>
          <w:p>
            <w:r>
              <w:rPr>
                <w:b/>
                <w:color w:val="FFFFFF"/>
                <w:sz w:val="20"/>
              </w:rPr>
              <w:t>SSE Type</w:t>
            </w:r>
          </w:p>
        </w:tc>
        <w:tc>
          <w:tcPr>
            <w:tcW w:type="dxa" w:w="2351"/>
            <w:shd w:fill="0C548A" w:val="clear"/>
          </w:tcPr>
          <w:p>
            <w:r>
              <w:rPr>
                <w:b/>
                <w:color w:val="FFFFFF"/>
                <w:sz w:val="20"/>
              </w:rPr>
              <w:t>Key Management</w:t>
            </w:r>
          </w:p>
        </w:tc>
        <w:tc>
          <w:tcPr>
            <w:tcW w:type="dxa" w:w="2351"/>
            <w:shd w:fill="0C548A" w:val="clear"/>
          </w:tcPr>
          <w:p>
            <w:r>
              <w:rPr>
                <w:b/>
                <w:color w:val="FFFFFF"/>
                <w:sz w:val="20"/>
              </w:rPr>
              <w:t>Configuration</w:t>
            </w:r>
          </w:p>
        </w:tc>
      </w:tr>
      <w:tr>
        <w:tc>
          <w:tcPr>
            <w:tcW w:type="dxa" w:w="2351"/>
          </w:tcPr>
          <w:p>
            <w:r>
              <w:rPr>
                <w:sz w:val="20"/>
              </w:rPr>
              <w:t>AWS S3</w:t>
            </w:r>
          </w:p>
        </w:tc>
        <w:tc>
          <w:tcPr>
            <w:tcW w:type="dxa" w:w="2351"/>
          </w:tcPr>
          <w:p>
            <w:r>
              <w:rPr>
                <w:sz w:val="20"/>
              </w:rPr>
              <w:t>SSE-S3</w:t>
            </w:r>
          </w:p>
        </w:tc>
        <w:tc>
          <w:tcPr>
            <w:tcW w:type="dxa" w:w="2351"/>
          </w:tcPr>
          <w:p>
            <w:r>
              <w:rPr>
                <w:sz w:val="20"/>
              </w:rPr>
              <w:t>AWS-managed keys</w:t>
            </w:r>
          </w:p>
        </w:tc>
        <w:tc>
          <w:tcPr>
            <w:tcW w:type="dxa" w:w="2351"/>
          </w:tcPr>
          <w:p>
            <w:r>
              <w:rPr>
                <w:sz w:val="20"/>
              </w:rPr>
              <w:t>Default encryption on bucket</w:t>
            </w:r>
          </w:p>
        </w:tc>
      </w:tr>
      <w:tr>
        <w:tc>
          <w:tcPr>
            <w:tcW w:type="dxa" w:w="2351"/>
            <w:shd w:fill="F4F6FA" w:val="clear"/>
          </w:tcPr>
          <w:p>
            <w:r>
              <w:rPr>
                <w:sz w:val="20"/>
              </w:rPr>
              <w:t>AWS S3</w:t>
            </w:r>
          </w:p>
        </w:tc>
        <w:tc>
          <w:tcPr>
            <w:tcW w:type="dxa" w:w="2351"/>
            <w:shd w:fill="F4F6FA" w:val="clear"/>
          </w:tcPr>
          <w:p>
            <w:r>
              <w:rPr>
                <w:sz w:val="20"/>
              </w:rPr>
              <w:t>SSE-KMS</w:t>
            </w:r>
          </w:p>
        </w:tc>
        <w:tc>
          <w:tcPr>
            <w:tcW w:type="dxa" w:w="2351"/>
            <w:shd w:fill="F4F6FA" w:val="clear"/>
          </w:tcPr>
          <w:p>
            <w:r>
              <w:rPr>
                <w:sz w:val="20"/>
              </w:rPr>
              <w:t>AWS KMS (CMK)</w:t>
            </w:r>
          </w:p>
        </w:tc>
        <w:tc>
          <w:tcPr>
            <w:tcW w:type="dxa" w:w="2351"/>
            <w:shd w:fill="F4F6FA" w:val="clear"/>
          </w:tcPr>
          <w:p>
            <w:r>
              <w:rPr>
                <w:sz w:val="20"/>
              </w:rPr>
              <w:t>Specify KMS Key ID in connection</w:t>
            </w:r>
          </w:p>
        </w:tc>
      </w:tr>
      <w:tr>
        <w:tc>
          <w:tcPr>
            <w:tcW w:type="dxa" w:w="2351"/>
          </w:tcPr>
          <w:p>
            <w:r>
              <w:rPr>
                <w:sz w:val="20"/>
              </w:rPr>
              <w:t>Azure ADLS</w:t>
            </w:r>
          </w:p>
        </w:tc>
        <w:tc>
          <w:tcPr>
            <w:tcW w:type="dxa" w:w="2351"/>
          </w:tcPr>
          <w:p>
            <w:r>
              <w:rPr>
                <w:sz w:val="20"/>
              </w:rPr>
              <w:t>SSE (default)</w:t>
            </w:r>
          </w:p>
        </w:tc>
        <w:tc>
          <w:tcPr>
            <w:tcW w:type="dxa" w:w="2351"/>
          </w:tcPr>
          <w:p>
            <w:r>
              <w:rPr>
                <w:sz w:val="20"/>
              </w:rPr>
              <w:t>Microsoft-managed keys</w:t>
            </w:r>
          </w:p>
        </w:tc>
        <w:tc>
          <w:tcPr>
            <w:tcW w:type="dxa" w:w="2351"/>
          </w:tcPr>
          <w:p>
            <w:r>
              <w:rPr>
                <w:sz w:val="20"/>
              </w:rPr>
              <w:t>Enabled by default on all accounts</w:t>
            </w:r>
          </w:p>
        </w:tc>
      </w:tr>
      <w:tr>
        <w:tc>
          <w:tcPr>
            <w:tcW w:type="dxa" w:w="2351"/>
            <w:shd w:fill="F4F6FA" w:val="clear"/>
          </w:tcPr>
          <w:p>
            <w:r>
              <w:rPr>
                <w:sz w:val="20"/>
              </w:rPr>
              <w:t>Azure ADLS</w:t>
            </w:r>
          </w:p>
        </w:tc>
        <w:tc>
          <w:tcPr>
            <w:tcW w:type="dxa" w:w="2351"/>
            <w:shd w:fill="F4F6FA" w:val="clear"/>
          </w:tcPr>
          <w:p>
            <w:r>
              <w:rPr>
                <w:sz w:val="20"/>
              </w:rPr>
              <w:t>SSE (CMK)</w:t>
            </w:r>
          </w:p>
        </w:tc>
        <w:tc>
          <w:tcPr>
            <w:tcW w:type="dxa" w:w="2351"/>
            <w:shd w:fill="F4F6FA" w:val="clear"/>
          </w:tcPr>
          <w:p>
            <w:r>
              <w:rPr>
                <w:sz w:val="20"/>
              </w:rPr>
              <w:t>Azure Key Vault</w:t>
            </w:r>
          </w:p>
        </w:tc>
        <w:tc>
          <w:tcPr>
            <w:tcW w:type="dxa" w:w="2351"/>
            <w:shd w:fill="F4F6FA" w:val="clear"/>
          </w:tcPr>
          <w:p>
            <w:r>
              <w:rPr>
                <w:sz w:val="20"/>
              </w:rPr>
              <w:t>Configure Key Vault URI and key name</w:t>
            </w:r>
          </w:p>
        </w:tc>
      </w:tr>
      <w:tr>
        <w:tc>
          <w:tcPr>
            <w:tcW w:type="dxa" w:w="2351"/>
          </w:tcPr>
          <w:p>
            <w:r>
              <w:rPr>
                <w:sz w:val="20"/>
              </w:rPr>
              <w:t>GCP GCS</w:t>
            </w:r>
          </w:p>
        </w:tc>
        <w:tc>
          <w:tcPr>
            <w:tcW w:type="dxa" w:w="2351"/>
          </w:tcPr>
          <w:p>
            <w:r>
              <w:rPr>
                <w:sz w:val="20"/>
              </w:rPr>
              <w:t>Google-managed</w:t>
            </w:r>
          </w:p>
        </w:tc>
        <w:tc>
          <w:tcPr>
            <w:tcW w:type="dxa" w:w="2351"/>
          </w:tcPr>
          <w:p>
            <w:r>
              <w:rPr>
                <w:sz w:val="20"/>
              </w:rPr>
              <w:t>Google-managed keys</w:t>
            </w:r>
          </w:p>
        </w:tc>
        <w:tc>
          <w:tcPr>
            <w:tcW w:type="dxa" w:w="2351"/>
          </w:tcPr>
          <w:p>
            <w:r>
              <w:rPr>
                <w:sz w:val="20"/>
              </w:rPr>
              <w:t>Default encryption on all objects</w:t>
            </w:r>
          </w:p>
        </w:tc>
      </w:tr>
      <w:tr>
        <w:tc>
          <w:tcPr>
            <w:tcW w:type="dxa" w:w="2351"/>
            <w:shd w:fill="F4F6FA" w:val="clear"/>
          </w:tcPr>
          <w:p>
            <w:r>
              <w:rPr>
                <w:sz w:val="20"/>
              </w:rPr>
              <w:t>GCP GCS</w:t>
            </w:r>
          </w:p>
        </w:tc>
        <w:tc>
          <w:tcPr>
            <w:tcW w:type="dxa" w:w="2351"/>
            <w:shd w:fill="F4F6FA" w:val="clear"/>
          </w:tcPr>
          <w:p>
            <w:r>
              <w:rPr>
                <w:sz w:val="20"/>
              </w:rPr>
              <w:t>CMEK</w:t>
            </w:r>
          </w:p>
        </w:tc>
        <w:tc>
          <w:tcPr>
            <w:tcW w:type="dxa" w:w="2351"/>
            <w:shd w:fill="F4F6FA" w:val="clear"/>
          </w:tcPr>
          <w:p>
            <w:r>
              <w:rPr>
                <w:sz w:val="20"/>
              </w:rPr>
              <w:t>Cloud KMS</w:t>
            </w:r>
          </w:p>
        </w:tc>
        <w:tc>
          <w:tcPr>
            <w:tcW w:type="dxa" w:w="2351"/>
            <w:shd w:fill="F4F6FA" w:val="clear"/>
          </w:tcPr>
          <w:p>
            <w:r>
              <w:rPr>
                <w:sz w:val="20"/>
              </w:rPr>
              <w:t>Specify KMS key resource name</w:t>
            </w:r>
          </w:p>
        </w:tc>
      </w:tr>
    </w:tbl>
    <w:p/>
    <w:p>
      <w:pPr>
        <w:pStyle w:val="Heading2"/>
      </w:pPr>
      <w:r>
        <w:t>10.2 Client-Side Encryption</w:t>
      </w:r>
    </w:p>
    <w:p>
      <w:r>
        <w:t>Client-side encryption encrypts data on the Secure Agent before uploading to cloud storage.</w:t>
      </w:r>
    </w:p>
    <w:p>
      <w:pPr>
        <w:pStyle w:val="ListBullet"/>
      </w:pPr>
      <w:r>
        <w:t>Provides end-to-end encryption: data is encrypted in transit and at rest</w:t>
      </w:r>
    </w:p>
    <w:p>
      <w:pPr>
        <w:pStyle w:val="ListBullet"/>
      </w:pPr>
      <w:r>
        <w:t>Requires key management on Secure Agent host</w:t>
      </w:r>
    </w:p>
    <w:p>
      <w:pPr>
        <w:pStyle w:val="ListBullet"/>
      </w:pPr>
      <w:r>
        <w:t>Adds CPU overhead on Secure Agent during encryption/decryption</w:t>
      </w:r>
    </w:p>
    <w:p>
      <w:pPr>
        <w:pStyle w:val="ListBullet"/>
      </w:pPr>
      <w:r>
        <w:t>Use when regulatory requirements mandate client-controlled encryption keys</w:t>
      </w:r>
    </w:p>
    <w:p>
      <w:pPr>
        <w:pStyle w:val="Heading2"/>
      </w:pPr>
      <w:r>
        <w:t>10.3 Encryption Configuration in IDMC</w:t>
      </w:r>
    </w:p>
    <w:p>
      <w:pPr>
        <w:pStyle w:val="NoSpacing"/>
        <w:shd w:fill="F5F5F5" w:val="clear"/>
        <w:ind w:left="432"/>
      </w:pPr>
      <w:r>
        <w:rPr>
          <w:rFonts w:ascii="Consolas" w:hAnsi="Consolas"/>
          <w:sz w:val="18"/>
        </w:rPr>
        <w:t>Connection Properties (AWS S3 with SSE-KMS):</w:t>
      </w:r>
    </w:p>
    <w:p>
      <w:pPr>
        <w:pStyle w:val="NoSpacing"/>
        <w:shd w:fill="F5F5F5" w:val="clear"/>
        <w:ind w:left="432"/>
      </w:pPr>
      <w:r>
        <w:rPr>
          <w:rFonts w:ascii="Consolas" w:hAnsi="Consolas"/>
          <w:sz w:val="18"/>
        </w:rPr>
        <w:t xml:space="preserve">  Server-Side Encryption: SSE-KMS</w:t>
      </w:r>
    </w:p>
    <w:p>
      <w:pPr>
        <w:pStyle w:val="NoSpacing"/>
        <w:shd w:fill="F5F5F5" w:val="clear"/>
        <w:ind w:left="432"/>
      </w:pPr>
      <w:r>
        <w:rPr>
          <w:rFonts w:ascii="Consolas" w:hAnsi="Consolas"/>
          <w:sz w:val="18"/>
        </w:rPr>
        <w:t xml:space="preserve">  KMS Key ID:            arn:aws:kms:us-east-1:123456789012:key/abcd-1234-efgh-5678</w:t>
      </w:r>
    </w:p>
    <w:p>
      <w:pPr>
        <w:pStyle w:val="NoSpacing"/>
        <w:shd w:fill="F5F5F5" w:val="clear"/>
        <w:ind w:left="432"/>
      </w:pPr>
      <w:r>
        <w:rPr>
          <w:rFonts w:ascii="Consolas" w:hAnsi="Consolas"/>
          <w:sz w:val="18"/>
        </w:rPr>
        <w:t xml:space="preserve">  Encryption Context:    {"purpose": "informatica-etl"}</w:t>
      </w:r>
    </w:p>
    <w:p>
      <w:pPr>
        <w:pStyle w:val="NoSpacing"/>
        <w:shd w:fill="F5F5F5" w:val="clear"/>
        <w:ind w:left="432"/>
      </w:pPr>
      <w:r>
        <w:rPr>
          <w:rFonts w:ascii="Consolas" w:hAnsi="Consolas"/>
          <w:sz w:val="18"/>
        </w:rPr>
      </w:r>
    </w:p>
    <w:p>
      <w:pPr>
        <w:pStyle w:val="NoSpacing"/>
        <w:shd w:fill="F5F5F5" w:val="clear"/>
        <w:ind w:left="432"/>
      </w:pPr>
      <w:r>
        <w:rPr>
          <w:rFonts w:ascii="Consolas" w:hAnsi="Consolas"/>
          <w:sz w:val="18"/>
        </w:rPr>
        <w:t>Connection Properties (Azure ADLS with CMK):</w:t>
      </w:r>
    </w:p>
    <w:p>
      <w:pPr>
        <w:pStyle w:val="NoSpacing"/>
        <w:shd w:fill="F5F5F5" w:val="clear"/>
        <w:ind w:left="432"/>
      </w:pPr>
      <w:r>
        <w:rPr>
          <w:rFonts w:ascii="Consolas" w:hAnsi="Consolas"/>
          <w:sz w:val="18"/>
        </w:rPr>
        <w:t xml:space="preserve">  Encryption Type:       Customer-Managed Key</w:t>
      </w:r>
    </w:p>
    <w:p>
      <w:pPr>
        <w:pStyle w:val="NoSpacing"/>
        <w:shd w:fill="F5F5F5" w:val="clear"/>
        <w:ind w:left="432"/>
      </w:pPr>
      <w:r>
        <w:rPr>
          <w:rFonts w:ascii="Consolas" w:hAnsi="Consolas"/>
          <w:sz w:val="18"/>
        </w:rPr>
        <w:t xml:space="preserve">  Key Vault URI:         https://company-keyvault.vault.azure.net/</w:t>
      </w:r>
    </w:p>
    <w:p>
      <w:pPr>
        <w:pStyle w:val="NoSpacing"/>
        <w:shd w:fill="F5F5F5" w:val="clear"/>
        <w:ind w:left="432"/>
      </w:pPr>
      <w:r>
        <w:rPr>
          <w:rFonts w:ascii="Consolas" w:hAnsi="Consolas"/>
          <w:sz w:val="18"/>
        </w:rPr>
        <w:t xml:space="preserve">  Key Name:              infa-adls-encryption-key</w:t>
      </w:r>
    </w:p>
    <w:p>
      <w:pPr>
        <w:pStyle w:val="NoSpacing"/>
        <w:shd w:fill="F5F5F5" w:val="clear"/>
        <w:ind w:left="432"/>
      </w:pPr>
      <w:r>
        <w:rPr>
          <w:rFonts w:ascii="Consolas" w:hAnsi="Consolas"/>
          <w:sz w:val="18"/>
        </w:rPr>
        <w:t xml:space="preserve">  Key Version:           latest</w:t>
      </w:r>
    </w:p>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Use SSE-KMS (AWS) or CMK (Azure/GCP) for sensitive data. Enable KMS key rotation annually and monitor key usage via CloudTrail (AWS), Azure Monitor, or Cloud Audit Logs (GCP).</w:t>
      </w:r>
    </w:p>
    <w:p/>
    <w:p>
      <w:r>
        <w:br w:type="page"/>
      </w:r>
    </w:p>
    <w:p>
      <w:pPr>
        <w:pStyle w:val="Heading1"/>
      </w:pPr>
      <w:r>
        <w:t>11. Cross-Cloud Patterns</w:t>
      </w:r>
    </w:p>
    <w:p>
      <w:r>
        <w:t>Multi-cloud organizations often need to move data between cloud providers. Informatica IDMC serves as the orchestration layer for cross-cloud data flows.</w:t>
      </w:r>
    </w:p>
    <w:p>
      <w:pPr>
        <w:pStyle w:val="Heading2"/>
      </w:pPr>
      <w:r>
        <w:t>11.1 Common Cross-Cloud Scenarios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Pattern</w:t>
            </w:r>
          </w:p>
        </w:tc>
        <w:tc>
          <w:tcPr>
            <w:tcW w:type="dxa" w:w="2351"/>
            <w:shd w:fill="0C548A" w:val="clear"/>
          </w:tcPr>
          <w:p>
            <w:r>
              <w:rPr>
                <w:b/>
                <w:color w:val="FFFFFF"/>
                <w:sz w:val="20"/>
              </w:rPr>
              <w:t>Source</w:t>
            </w:r>
          </w:p>
        </w:tc>
        <w:tc>
          <w:tcPr>
            <w:tcW w:type="dxa" w:w="2351"/>
            <w:shd w:fill="0C548A" w:val="clear"/>
          </w:tcPr>
          <w:p>
            <w:r>
              <w:rPr>
                <w:b/>
                <w:color w:val="FFFFFF"/>
                <w:sz w:val="20"/>
              </w:rPr>
              <w:t>Target</w:t>
            </w:r>
          </w:p>
        </w:tc>
        <w:tc>
          <w:tcPr>
            <w:tcW w:type="dxa" w:w="2351"/>
            <w:shd w:fill="0C548A" w:val="clear"/>
          </w:tcPr>
          <w:p>
            <w:r>
              <w:rPr>
                <w:b/>
                <w:color w:val="FFFFFF"/>
                <w:sz w:val="20"/>
              </w:rPr>
              <w:t>Use Case</w:t>
            </w:r>
          </w:p>
        </w:tc>
      </w:tr>
      <w:tr>
        <w:tc>
          <w:tcPr>
            <w:tcW w:type="dxa" w:w="2351"/>
          </w:tcPr>
          <w:p>
            <w:r>
              <w:rPr>
                <w:sz w:val="20"/>
              </w:rPr>
              <w:t>Cloud Migration</w:t>
            </w:r>
          </w:p>
        </w:tc>
        <w:tc>
          <w:tcPr>
            <w:tcW w:type="dxa" w:w="2351"/>
          </w:tcPr>
          <w:p>
            <w:r>
              <w:rPr>
                <w:sz w:val="20"/>
              </w:rPr>
              <w:t>AWS S3</w:t>
            </w:r>
          </w:p>
        </w:tc>
        <w:tc>
          <w:tcPr>
            <w:tcW w:type="dxa" w:w="2351"/>
          </w:tcPr>
          <w:p>
            <w:r>
              <w:rPr>
                <w:sz w:val="20"/>
              </w:rPr>
              <w:t>Azure ADLS Gen2</w:t>
            </w:r>
          </w:p>
        </w:tc>
        <w:tc>
          <w:tcPr>
            <w:tcW w:type="dxa" w:w="2351"/>
          </w:tcPr>
          <w:p>
            <w:r>
              <w:rPr>
                <w:sz w:val="20"/>
              </w:rPr>
              <w:t>Migrating data lake to Azure</w:t>
            </w:r>
          </w:p>
        </w:tc>
      </w:tr>
      <w:tr>
        <w:tc>
          <w:tcPr>
            <w:tcW w:type="dxa" w:w="2351"/>
            <w:shd w:fill="F4F6FA" w:val="clear"/>
          </w:tcPr>
          <w:p>
            <w:r>
              <w:rPr>
                <w:sz w:val="20"/>
              </w:rPr>
              <w:t>Multi-Cloud Analytics</w:t>
            </w:r>
          </w:p>
        </w:tc>
        <w:tc>
          <w:tcPr>
            <w:tcW w:type="dxa" w:w="2351"/>
            <w:shd w:fill="F4F6FA" w:val="clear"/>
          </w:tcPr>
          <w:p>
            <w:r>
              <w:rPr>
                <w:sz w:val="20"/>
              </w:rPr>
              <w:t>GCS</w:t>
            </w:r>
          </w:p>
        </w:tc>
        <w:tc>
          <w:tcPr>
            <w:tcW w:type="dxa" w:w="2351"/>
            <w:shd w:fill="F4F6FA" w:val="clear"/>
          </w:tcPr>
          <w:p>
            <w:r>
              <w:rPr>
                <w:sz w:val="20"/>
              </w:rPr>
              <w:t>AWS S3</w:t>
            </w:r>
          </w:p>
        </w:tc>
        <w:tc>
          <w:tcPr>
            <w:tcW w:type="dxa" w:w="2351"/>
            <w:shd w:fill="F4F6FA" w:val="clear"/>
          </w:tcPr>
          <w:p>
            <w:r>
              <w:rPr>
                <w:sz w:val="20"/>
              </w:rPr>
              <w:t>Consolidating analytics in AWS</w:t>
            </w:r>
          </w:p>
        </w:tc>
      </w:tr>
      <w:tr>
        <w:tc>
          <w:tcPr>
            <w:tcW w:type="dxa" w:w="2351"/>
          </w:tcPr>
          <w:p>
            <w:r>
              <w:rPr>
                <w:sz w:val="20"/>
              </w:rPr>
              <w:t>Hybrid Cloud</w:t>
            </w:r>
          </w:p>
        </w:tc>
        <w:tc>
          <w:tcPr>
            <w:tcW w:type="dxa" w:w="2351"/>
          </w:tcPr>
          <w:p>
            <w:r>
              <w:rPr>
                <w:sz w:val="20"/>
              </w:rPr>
              <w:t>On-Prem NFS</w:t>
            </w:r>
          </w:p>
        </w:tc>
        <w:tc>
          <w:tcPr>
            <w:tcW w:type="dxa" w:w="2351"/>
          </w:tcPr>
          <w:p>
            <w:r>
              <w:rPr>
                <w:sz w:val="20"/>
              </w:rPr>
              <w:t>ADLS Gen2</w:t>
            </w:r>
          </w:p>
        </w:tc>
        <w:tc>
          <w:tcPr>
            <w:tcW w:type="dxa" w:w="2351"/>
          </w:tcPr>
          <w:p>
            <w:r>
              <w:rPr>
                <w:sz w:val="20"/>
              </w:rPr>
              <w:t>Extending on-prem to cloud</w:t>
            </w:r>
          </w:p>
        </w:tc>
      </w:tr>
      <w:tr>
        <w:tc>
          <w:tcPr>
            <w:tcW w:type="dxa" w:w="2351"/>
            <w:shd w:fill="F4F6FA" w:val="clear"/>
          </w:tcPr>
          <w:p>
            <w:r>
              <w:rPr>
                <w:sz w:val="20"/>
              </w:rPr>
              <w:t>DR/Backup</w:t>
            </w:r>
          </w:p>
        </w:tc>
        <w:tc>
          <w:tcPr>
            <w:tcW w:type="dxa" w:w="2351"/>
            <w:shd w:fill="F4F6FA" w:val="clear"/>
          </w:tcPr>
          <w:p>
            <w:r>
              <w:rPr>
                <w:sz w:val="20"/>
              </w:rPr>
              <w:t>AWS S3</w:t>
            </w:r>
          </w:p>
        </w:tc>
        <w:tc>
          <w:tcPr>
            <w:tcW w:type="dxa" w:w="2351"/>
            <w:shd w:fill="F4F6FA" w:val="clear"/>
          </w:tcPr>
          <w:p>
            <w:r>
              <w:rPr>
                <w:sz w:val="20"/>
              </w:rPr>
              <w:t>GCS</w:t>
            </w:r>
          </w:p>
        </w:tc>
        <w:tc>
          <w:tcPr>
            <w:tcW w:type="dxa" w:w="2351"/>
            <w:shd w:fill="F4F6FA" w:val="clear"/>
          </w:tcPr>
          <w:p>
            <w:r>
              <w:rPr>
                <w:sz w:val="20"/>
              </w:rPr>
              <w:t>Cross-cloud disaster recovery</w:t>
            </w:r>
          </w:p>
        </w:tc>
      </w:tr>
      <w:tr>
        <w:tc>
          <w:tcPr>
            <w:tcW w:type="dxa" w:w="2351"/>
          </w:tcPr>
          <w:p>
            <w:r>
              <w:rPr>
                <w:sz w:val="20"/>
              </w:rPr>
              <w:t>Data Sharing</w:t>
            </w:r>
          </w:p>
        </w:tc>
        <w:tc>
          <w:tcPr>
            <w:tcW w:type="dxa" w:w="2351"/>
          </w:tcPr>
          <w:p>
            <w:r>
              <w:rPr>
                <w:sz w:val="20"/>
              </w:rPr>
              <w:t>Azure ADLS</w:t>
            </w:r>
          </w:p>
        </w:tc>
        <w:tc>
          <w:tcPr>
            <w:tcW w:type="dxa" w:w="2351"/>
          </w:tcPr>
          <w:p>
            <w:r>
              <w:rPr>
                <w:sz w:val="20"/>
              </w:rPr>
              <w:t>AWS S3 + GCS</w:t>
            </w:r>
          </w:p>
        </w:tc>
        <w:tc>
          <w:tcPr>
            <w:tcW w:type="dxa" w:w="2351"/>
          </w:tcPr>
          <w:p>
            <w:r>
              <w:rPr>
                <w:sz w:val="20"/>
              </w:rPr>
              <w:t>Multi-cloud data distribution</w:t>
            </w:r>
          </w:p>
        </w:tc>
      </w:tr>
    </w:tbl>
    <w:p/>
    <w:p>
      <w:pPr>
        <w:pStyle w:val="Heading2"/>
      </w:pPr>
      <w:r>
        <w:t>11.2 Cross-Cloud Configuration</w:t>
      </w:r>
    </w:p>
    <w:p>
      <w:pPr>
        <w:pStyle w:val="NoSpacing"/>
        <w:shd w:fill="F5F5F5" w:val="clear"/>
        <w:ind w:left="432"/>
      </w:pPr>
      <w:r>
        <w:rPr>
          <w:rFonts w:ascii="Consolas" w:hAnsi="Consolas"/>
          <w:sz w:val="18"/>
        </w:rPr>
        <w:t>Mapping Design:</w:t>
      </w:r>
    </w:p>
    <w:p>
      <w:pPr>
        <w:pStyle w:val="NoSpacing"/>
        <w:shd w:fill="F5F5F5" w:val="clear"/>
        <w:ind w:left="432"/>
      </w:pPr>
      <w:r>
        <w:rPr>
          <w:rFonts w:ascii="Consolas" w:hAnsi="Consolas"/>
          <w:sz w:val="18"/>
        </w:rPr>
        <w:t xml:space="preserve">  Source Connection:      AWS_S3_PROD (S3 bucket: source-data)</w:t>
      </w:r>
    </w:p>
    <w:p>
      <w:pPr>
        <w:pStyle w:val="NoSpacing"/>
        <w:shd w:fill="F5F5F5" w:val="clear"/>
        <w:ind w:left="432"/>
      </w:pPr>
      <w:r>
        <w:rPr>
          <w:rFonts w:ascii="Consolas" w:hAnsi="Consolas"/>
          <w:sz w:val="18"/>
        </w:rPr>
        <w:t xml:space="preserve">  Target Connection:      ADLS_GEN2_PROD (Container: target-data)</w:t>
      </w:r>
    </w:p>
    <w:p>
      <w:pPr>
        <w:pStyle w:val="NoSpacing"/>
        <w:shd w:fill="F5F5F5" w:val="clear"/>
        <w:ind w:left="432"/>
      </w:pPr>
      <w:r>
        <w:rPr>
          <w:rFonts w:ascii="Consolas" w:hAnsi="Consolas"/>
          <w:sz w:val="18"/>
        </w:rPr>
        <w:t xml:space="preserve">  File Format:            Parquet (preserved across clouds)</w:t>
      </w:r>
    </w:p>
    <w:p>
      <w:pPr>
        <w:pStyle w:val="NoSpacing"/>
        <w:shd w:fill="F5F5F5" w:val="clear"/>
        <w:ind w:left="432"/>
      </w:pPr>
      <w:r>
        <w:rPr>
          <w:rFonts w:ascii="Consolas" w:hAnsi="Consolas"/>
          <w:sz w:val="18"/>
        </w:rPr>
        <w:t xml:space="preserve">  Compression:            ZSTD (decompressed/recompressed by agent)</w:t>
      </w:r>
    </w:p>
    <w:p>
      <w:pPr>
        <w:pStyle w:val="NoSpacing"/>
        <w:shd w:fill="F5F5F5" w:val="clear"/>
        <w:ind w:left="432"/>
      </w:pPr>
      <w:r>
        <w:rPr>
          <w:rFonts w:ascii="Consolas" w:hAnsi="Consolas"/>
          <w:sz w:val="18"/>
        </w:rPr>
        <w:t xml:space="preserve">  Partition Mapping:      Preserve source partition structure</w:t>
      </w:r>
    </w:p>
    <w:p/>
    <w:p>
      <w:pPr>
        <w:pStyle w:val="Heading2"/>
      </w:pPr>
      <w:r>
        <w:t>11.3 Performance Considerations</w:t>
      </w:r>
    </w:p>
    <w:p>
      <w:pPr>
        <w:pStyle w:val="ListNumber"/>
      </w:pPr>
      <w:r>
        <w:t>Secure Agent location: Deploy agent close to the larger data volume (source or target)</w:t>
      </w:r>
    </w:p>
    <w:p>
      <w:pPr>
        <w:pStyle w:val="ListNumber"/>
      </w:pPr>
      <w:r>
        <w:t>Network bandwidth: Cross-cloud transfers are limited by internet egress bandwidth</w:t>
      </w:r>
    </w:p>
    <w:p>
      <w:pPr>
        <w:pStyle w:val="ListNumber"/>
      </w:pPr>
      <w:r>
        <w:t>Compression: Enable compression to reduce data transfer volume and cost</w:t>
      </w:r>
    </w:p>
    <w:p>
      <w:pPr>
        <w:pStyle w:val="ListNumber"/>
      </w:pPr>
      <w:r>
        <w:t>Parallelism: Use session partitioning to run multiple file transfers concurrently</w:t>
      </w:r>
    </w:p>
    <w:p>
      <w:pPr>
        <w:pStyle w:val="ListNumber"/>
      </w:pPr>
      <w:r>
        <w:t>Egress costs: Cloud providers charge for data leaving their network - factor into TCO</w:t>
      </w:r>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For large-scale cross-cloud migrations (&gt;10 TB), consider using cloud provider transfer services (AWS DataSync, Azure Data Box, GCP Transfer Service) for the initial bulk load, then switch to Informatica for ongoing incremental synchronization.</w:t>
      </w:r>
    </w:p>
    <w:p/>
    <w:p>
      <w:pPr>
        <w:jc w:val="center"/>
      </w:pPr>
      <w:r>
        <w:rPr>
          <w:color w:val="CCCCCC"/>
          <w:sz w:val="16"/>
        </w:rPr>
        <w:t>────────────────────────────────────────────────────────────────────────────────</w:t>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Snowflake Connector Guide</w:t>
            </w:r>
          </w:p>
        </w:tc>
        <w:tc>
          <w:tcPr>
            <w:tcW w:type="dxa" w:w="4703"/>
          </w:tcPr>
          <w:p>
            <w:r>
              <w:rPr>
                <w:sz w:val="20"/>
              </w:rPr>
              <w:t>Connectors Library / #44</w:t>
            </w:r>
          </w:p>
        </w:tc>
      </w:tr>
      <w:tr>
        <w:tc>
          <w:tcPr>
            <w:tcW w:type="dxa" w:w="4703"/>
            <w:shd w:fill="F4F6FA" w:val="clear"/>
          </w:tcPr>
          <w:p>
            <w:r>
              <w:rPr>
                <w:sz w:val="20"/>
              </w:rPr>
              <w:t>SAP Connector Guide</w:t>
            </w:r>
          </w:p>
        </w:tc>
        <w:tc>
          <w:tcPr>
            <w:tcW w:type="dxa" w:w="4703"/>
            <w:shd w:fill="F4F6FA" w:val="clear"/>
          </w:tcPr>
          <w:p>
            <w:r>
              <w:rPr>
                <w:sz w:val="20"/>
              </w:rPr>
              <w:t>Connectors Library / #45</w:t>
            </w:r>
          </w:p>
        </w:tc>
      </w:tr>
      <w:tr>
        <w:tc>
          <w:tcPr>
            <w:tcW w:type="dxa" w:w="4703"/>
          </w:tcPr>
          <w:p>
            <w:r>
              <w:rPr>
                <w:sz w:val="20"/>
              </w:rPr>
              <w:t>Salesforce Connector Guide</w:t>
            </w:r>
          </w:p>
        </w:tc>
        <w:tc>
          <w:tcPr>
            <w:tcW w:type="dxa" w:w="4703"/>
          </w:tcPr>
          <w:p>
            <w:r>
              <w:rPr>
                <w:sz w:val="20"/>
              </w:rPr>
              <w:t>Connectors Library / #46</w:t>
            </w:r>
          </w:p>
        </w:tc>
      </w:tr>
      <w:tr>
        <w:tc>
          <w:tcPr>
            <w:tcW w:type="dxa" w:w="4703"/>
            <w:shd w:fill="F4F6FA" w:val="clear"/>
          </w:tcPr>
          <w:p>
            <w:r>
              <w:rPr>
                <w:sz w:val="20"/>
              </w:rPr>
              <w:t>Performance Tuning Framework</w:t>
            </w:r>
          </w:p>
        </w:tc>
        <w:tc>
          <w:tcPr>
            <w:tcW w:type="dxa" w:w="4703"/>
            <w:shd w:fill="F4F6FA" w:val="clear"/>
          </w:tcPr>
          <w:p>
            <w:r>
              <w:rPr>
                <w:sz w:val="20"/>
              </w:rPr>
              <w:t>Best Practices / Performance</w:t>
            </w:r>
          </w:p>
        </w:tc>
      </w:tr>
      <w:tr>
        <w:tc>
          <w:tcPr>
            <w:tcW w:type="dxa" w:w="4703"/>
          </w:tcPr>
          <w:p>
            <w:r>
              <w:rPr>
                <w:sz w:val="20"/>
              </w:rPr>
              <w:t>Enterprise Security Framework</w:t>
            </w:r>
          </w:p>
        </w:tc>
        <w:tc>
          <w:tcPr>
            <w:tcW w:type="dxa" w:w="4703"/>
          </w:tcPr>
          <w:p>
            <w:r>
              <w:rPr>
                <w:sz w:val="20"/>
              </w:rPr>
              <w:t>Best Practices / Security</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