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Salesforce Connector Guide</w:t>
      </w:r>
    </w:p>
    <w:p>
      <w:r>
        <w:rPr>
          <w:b/>
          <w:color w:val="FF6D00"/>
          <w:sz w:val="28"/>
        </w:rPr>
        <w:t>Mastech Digital — Informatica Platform Assets</w:t>
      </w:r>
    </w:p>
    <w:p>
      <w:r>
        <w:rPr>
          <w:i/>
          <w:color w:val="4B5563"/>
          <w:sz w:val="22"/>
        </w:rPr>
        <w:t>Complete guide for Informatica IDMC Salesforce connector covering authentication, API strategies, CDC, and optimization.</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Salesforce Connector Guide</w:t>
            </w:r>
          </w:p>
        </w:tc>
      </w:tr>
      <w:tr>
        <w:tc>
          <w:tcPr>
            <w:tcW w:type="dxa" w:w="4703"/>
            <w:shd w:fill="0C548A" w:val="clear"/>
          </w:tcPr>
          <w:p>
            <w:r>
              <w:rPr>
                <w:b/>
                <w:color w:val="FFFFFF"/>
                <w:sz w:val="20"/>
              </w:rPr>
              <w:t>Category</w:t>
            </w:r>
          </w:p>
        </w:tc>
        <w:tc>
          <w:tcPr>
            <w:tcW w:type="dxa" w:w="4703"/>
          </w:tcPr>
          <w:p>
            <w:r>
              <w:rPr>
                <w:sz w:val="20"/>
              </w:rPr>
              <w:t>Connectors Library</w:t>
            </w:r>
          </w:p>
        </w:tc>
      </w:tr>
      <w:tr>
        <w:tc>
          <w:tcPr>
            <w:tcW w:type="dxa" w:w="4703"/>
            <w:shd w:fill="0C548A" w:val="clear"/>
          </w:tcPr>
          <w:p>
            <w:r>
              <w:rPr>
                <w:b/>
                <w:color w:val="FFFFFF"/>
                <w:sz w:val="20"/>
              </w:rPr>
              <w:t>Document ID</w:t>
            </w:r>
          </w:p>
        </w:tc>
        <w:tc>
          <w:tcPr>
            <w:tcW w:type="dxa" w:w="4703"/>
            <w:shd w:fill="F4F6FA" w:val="clear"/>
          </w:tcPr>
          <w:p>
            <w:r>
              <w:rPr>
                <w:sz w:val="20"/>
              </w:rPr>
              <w:t>#46</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The Salesforce Connector in Informatica IDMC provides native integration with Salesforce CRM, supporting both standard and custom objects, Bulk API and SOAP API access, Change Data Capture events, and platform events. This guide covers OAuth 2.0 authentication setup, API selection strategy (Bulk vs SOAP), relationship queries, batch size optimization, CDC and platform event processing, bulk data loading with upsert operations, field-level security considerations, sandbox vs production configurations, Salesforce governor limits handling, and SOQL optimization techniques. Correct configuration ensures reliable, governor-limit-aware data integration.</w:t>
      </w:r>
    </w:p>
    <w:p/>
    <w:p>
      <w:pPr>
        <w:pStyle w:val="Heading1"/>
      </w:pPr>
      <w:r>
        <w:t>Table of Contents</w:t>
      </w:r>
    </w:p>
    <w:p>
      <w:pPr>
        <w:spacing w:after="60"/>
      </w:pPr>
      <w:r>
        <w:rPr>
          <w:color w:val="0C548A"/>
          <w:sz w:val="22"/>
        </w:rPr>
        <w:t>1.0  OAuth 2.0 Authentication Setup</w:t>
      </w:r>
    </w:p>
    <w:p>
      <w:pPr>
        <w:spacing w:after="60"/>
      </w:pPr>
      <w:r>
        <w:rPr>
          <w:color w:val="0C548A"/>
          <w:sz w:val="22"/>
        </w:rPr>
        <w:t>2.0  Bulk API vs SOAP API</w:t>
      </w:r>
    </w:p>
    <w:p>
      <w:pPr>
        <w:spacing w:after="60"/>
      </w:pPr>
      <w:r>
        <w:rPr>
          <w:color w:val="0C548A"/>
          <w:sz w:val="22"/>
        </w:rPr>
        <w:t>3.0  Standard &amp; Custom Object Access</w:t>
      </w:r>
    </w:p>
    <w:p>
      <w:pPr>
        <w:spacing w:after="60"/>
      </w:pPr>
      <w:r>
        <w:rPr>
          <w:color w:val="0C548A"/>
          <w:sz w:val="22"/>
        </w:rPr>
        <w:t>4.0  Relationship Queries</w:t>
      </w:r>
    </w:p>
    <w:p>
      <w:pPr>
        <w:spacing w:after="60"/>
      </w:pPr>
      <w:r>
        <w:rPr>
          <w:color w:val="0C548A"/>
          <w:sz w:val="22"/>
        </w:rPr>
        <w:t>5.0  Batch Size Optimization</w:t>
      </w:r>
    </w:p>
    <w:p>
      <w:pPr>
        <w:spacing w:after="60"/>
      </w:pPr>
      <w:r>
        <w:rPr>
          <w:color w:val="0C548A"/>
          <w:sz w:val="22"/>
        </w:rPr>
        <w:t>6.0  Salesforce CDC Events</w:t>
      </w:r>
    </w:p>
    <w:p>
      <w:pPr>
        <w:spacing w:after="60"/>
      </w:pPr>
      <w:r>
        <w:rPr>
          <w:color w:val="0C548A"/>
          <w:sz w:val="22"/>
        </w:rPr>
        <w:t>7.0  Platform Events</w:t>
      </w:r>
    </w:p>
    <w:p>
      <w:pPr>
        <w:spacing w:after="60"/>
      </w:pPr>
      <w:r>
        <w:rPr>
          <w:color w:val="0C548A"/>
          <w:sz w:val="22"/>
        </w:rPr>
        <w:t>8.0  Bulk Data Loading &amp; Upsert</w:t>
      </w:r>
    </w:p>
    <w:p>
      <w:pPr>
        <w:spacing w:after="60"/>
      </w:pPr>
      <w:r>
        <w:rPr>
          <w:color w:val="0C548A"/>
          <w:sz w:val="22"/>
        </w:rPr>
        <w:t>9.0  Field-Level Security</w:t>
      </w:r>
    </w:p>
    <w:p>
      <w:pPr>
        <w:spacing w:after="60"/>
      </w:pPr>
      <w:r>
        <w:rPr>
          <w:color w:val="0C548A"/>
          <w:sz w:val="22"/>
        </w:rPr>
        <w:t>10.0  Sandbox vs Production</w:t>
      </w:r>
    </w:p>
    <w:p>
      <w:pPr>
        <w:spacing w:after="60"/>
      </w:pPr>
      <w:r>
        <w:rPr>
          <w:color w:val="0C548A"/>
          <w:sz w:val="22"/>
        </w:rPr>
        <w:t>11.0  Governor Limits Handling</w:t>
      </w:r>
    </w:p>
    <w:p>
      <w:pPr>
        <w:spacing w:after="60"/>
      </w:pPr>
      <w:r>
        <w:rPr>
          <w:color w:val="0C548A"/>
          <w:sz w:val="22"/>
        </w:rPr>
        <w:t>12.0  SOQL Optimization</w:t>
      </w:r>
    </w:p>
    <w:p>
      <w:r>
        <w:br w:type="page"/>
      </w:r>
    </w:p>
    <w:p>
      <w:pPr>
        <w:pStyle w:val="Heading1"/>
      </w:pPr>
      <w:r>
        <w:t>Prerequisites &amp; Applicability</w:t>
      </w:r>
    </w:p>
    <w:p>
      <w:pPr>
        <w:pStyle w:val="ListBullet"/>
      </w:pPr>
      <w:r>
        <w:t>Informatica IDMC (IICS) organization with Salesforce connector license</w:t>
      </w:r>
    </w:p>
    <w:p>
      <w:pPr>
        <w:pStyle w:val="ListBullet"/>
      </w:pPr>
      <w:r>
        <w:t>Secure Agent installed and running with internet access to Salesforce endpoints</w:t>
      </w:r>
    </w:p>
    <w:p>
      <w:pPr>
        <w:pStyle w:val="ListBullet"/>
      </w:pPr>
      <w:r>
        <w:t>Salesforce org (Enterprise, Unlimited, or Developer edition) with API access enabled</w:t>
      </w:r>
    </w:p>
    <w:p>
      <w:pPr>
        <w:pStyle w:val="ListBullet"/>
      </w:pPr>
      <w:r>
        <w:t>Salesforce Connected App configured for OAuth 2.0</w:t>
      </w:r>
    </w:p>
    <w:p>
      <w:pPr>
        <w:pStyle w:val="ListBullet"/>
      </w:pPr>
      <w:r>
        <w:t>Salesforce user with 'API Enabled' permission and appropriate profile/permission sets</w:t>
      </w:r>
    </w:p>
    <w:p>
      <w:pPr>
        <w:pStyle w:val="ListBullet"/>
      </w:pPr>
      <w:r>
        <w:t>Network: Secure Agent can reach login.salesforce.com or custom domain (port 443)</w:t>
      </w:r>
    </w:p>
    <w:p/>
    <w:p>
      <w:pPr>
        <w:pStyle w:val="Heading1"/>
      </w:pPr>
      <w:r>
        <w:t>1. OAuth 2.0 Authentication Setup</w:t>
      </w:r>
    </w:p>
    <w:p>
      <w:r>
        <w:t>OAuth 2.0 is the recommended authentication method for Salesforce connections. It eliminates the need to store Salesforce passwords in Informatica and supports token refresh.</w:t>
      </w:r>
    </w:p>
    <w:p>
      <w:pPr>
        <w:pStyle w:val="Heading2"/>
      </w:pPr>
      <w:r>
        <w:t>1.1 Connected App Configuration</w:t>
      </w:r>
    </w:p>
    <w:p>
      <w:pPr>
        <w:pStyle w:val="ListNumber"/>
      </w:pPr>
      <w:r>
        <w:t>In Salesforce Setup, navigate to App Manager &gt; New Connected App</w:t>
      </w:r>
    </w:p>
    <w:p>
      <w:pPr>
        <w:pStyle w:val="ListNumber"/>
      </w:pPr>
      <w:r>
        <w:t>Enable OAuth Settings with scopes: api, refresh_token, offline_access</w:t>
      </w:r>
    </w:p>
    <w:p>
      <w:pPr>
        <w:pStyle w:val="ListNumber"/>
      </w:pPr>
      <w:r>
        <w:t>Set callback URL to Informatica redirect URI (provided in IDMC connection wizard)</w:t>
      </w:r>
    </w:p>
    <w:p>
      <w:pPr>
        <w:pStyle w:val="ListNumber"/>
      </w:pPr>
      <w:r>
        <w:t>Note Consumer Key and Consumer Secret for IDMC configuration</w:t>
      </w:r>
    </w:p>
    <w:p>
      <w:pPr>
        <w:pStyle w:val="ListNumber"/>
      </w:pPr>
      <w:r>
        <w:t>Set IP Relaxation to 'Relax IP restrictions' for Secure Agent connectivity</w:t>
      </w:r>
    </w:p>
    <w:p>
      <w:pPr>
        <w:pStyle w:val="Heading2"/>
      </w:pPr>
      <w:r>
        <w:t>1.2 IDMC Connection Configuration</w:t>
      </w:r>
    </w:p>
    <w:p>
      <w:pPr>
        <w:pStyle w:val="NoSpacing"/>
        <w:shd w:fill="F5F5F5" w:val="clear"/>
        <w:ind w:left="432"/>
      </w:pPr>
      <w:r>
        <w:rPr>
          <w:rFonts w:ascii="Consolas" w:hAnsi="Consolas"/>
          <w:sz w:val="18"/>
        </w:rPr>
        <w:t>Connection Name:         SFDC_PROD</w:t>
      </w:r>
    </w:p>
    <w:p>
      <w:pPr>
        <w:pStyle w:val="NoSpacing"/>
        <w:shd w:fill="F5F5F5" w:val="clear"/>
        <w:ind w:left="432"/>
      </w:pPr>
      <w:r>
        <w:rPr>
          <w:rFonts w:ascii="Consolas" w:hAnsi="Consolas"/>
          <w:sz w:val="18"/>
        </w:rPr>
        <w:t>Connection Type:         Salesforce</w:t>
      </w:r>
    </w:p>
    <w:p>
      <w:pPr>
        <w:pStyle w:val="NoSpacing"/>
        <w:shd w:fill="F5F5F5" w:val="clear"/>
        <w:ind w:left="432"/>
      </w:pPr>
      <w:r>
        <w:rPr>
          <w:rFonts w:ascii="Consolas" w:hAnsi="Consolas"/>
          <w:sz w:val="18"/>
        </w:rPr>
        <w:t>Auth Type:               OAuth 2.0</w:t>
      </w:r>
    </w:p>
    <w:p>
      <w:pPr>
        <w:pStyle w:val="NoSpacing"/>
        <w:shd w:fill="F5F5F5" w:val="clear"/>
        <w:ind w:left="432"/>
      </w:pPr>
      <w:r>
        <w:rPr>
          <w:rFonts w:ascii="Consolas" w:hAnsi="Consolas"/>
          <w:sz w:val="18"/>
        </w:rPr>
        <w:t>Consumer Key:            3MVG9d8..._YOUR_KEY</w:t>
      </w:r>
    </w:p>
    <w:p>
      <w:pPr>
        <w:pStyle w:val="NoSpacing"/>
        <w:shd w:fill="F5F5F5" w:val="clear"/>
        <w:ind w:left="432"/>
      </w:pPr>
      <w:r>
        <w:rPr>
          <w:rFonts w:ascii="Consolas" w:hAnsi="Consolas"/>
          <w:sz w:val="18"/>
        </w:rPr>
        <w:t>Consumer Secret:         ********</w:t>
      </w:r>
    </w:p>
    <w:p>
      <w:pPr>
        <w:pStyle w:val="NoSpacing"/>
        <w:shd w:fill="F5F5F5" w:val="clear"/>
        <w:ind w:left="432"/>
      </w:pPr>
      <w:r>
        <w:rPr>
          <w:rFonts w:ascii="Consolas" w:hAnsi="Consolas"/>
          <w:sz w:val="18"/>
        </w:rPr>
        <w:t>Login URL:               https://login.salesforce.com</w:t>
      </w:r>
    </w:p>
    <w:p>
      <w:pPr>
        <w:pStyle w:val="NoSpacing"/>
        <w:shd w:fill="F5F5F5" w:val="clear"/>
        <w:ind w:left="432"/>
      </w:pPr>
      <w:r>
        <w:rPr>
          <w:rFonts w:ascii="Consolas" w:hAnsi="Consolas"/>
          <w:sz w:val="18"/>
        </w:rPr>
        <w:t xml:space="preserve">   (or for sandbox):     https://test.salesforce.com</w:t>
      </w:r>
    </w:p>
    <w:p>
      <w:pPr>
        <w:pStyle w:val="NoSpacing"/>
        <w:shd w:fill="F5F5F5" w:val="clear"/>
        <w:ind w:left="432"/>
      </w:pPr>
      <w:r>
        <w:rPr>
          <w:rFonts w:ascii="Consolas" w:hAnsi="Consolas"/>
          <w:sz w:val="18"/>
        </w:rPr>
        <w:t>Token Endpoint:          /services/oauth2/token</w:t>
      </w:r>
    </w:p>
    <w:p>
      <w:pPr>
        <w:pStyle w:val="NoSpacing"/>
        <w:shd w:fill="F5F5F5" w:val="clear"/>
        <w:ind w:left="432"/>
      </w:pPr>
      <w:r>
        <w:rPr>
          <w:rFonts w:ascii="Consolas" w:hAnsi="Consolas"/>
          <w:sz w:val="18"/>
        </w:rPr>
        <w:t>Refresh Token:           &lt;obtained via authorization flow&gt;</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a dedicated Salesforce Integration User with a specific profile rather than a named user account. This prevents authentication failures when users change passwords or leave the organization.</w:t>
      </w:r>
    </w:p>
    <w:p/>
    <w:p>
      <w:pPr>
        <w:pStyle w:val="Heading2"/>
      </w:pPr>
      <w:r>
        <w:t>1.3 Username/Password (Legacy)</w:t>
      </w:r>
    </w:p>
    <w:p>
      <w:r>
        <w:t>For backward compatibility, username/password + security token authentication is still supported but not recommended.</w:t>
      </w:r>
    </w:p>
    <w:p>
      <w:pPr>
        <w:pStyle w:val="NoSpacing"/>
        <w:shd w:fill="F5F5F5" w:val="clear"/>
        <w:ind w:left="432"/>
      </w:pPr>
      <w:r>
        <w:rPr>
          <w:rFonts w:ascii="Consolas" w:hAnsi="Consolas"/>
          <w:sz w:val="18"/>
        </w:rPr>
        <w:t>Connection Name:         SFDC_DEV</w:t>
      </w:r>
    </w:p>
    <w:p>
      <w:pPr>
        <w:pStyle w:val="NoSpacing"/>
        <w:shd w:fill="F5F5F5" w:val="clear"/>
        <w:ind w:left="432"/>
      </w:pPr>
      <w:r>
        <w:rPr>
          <w:rFonts w:ascii="Consolas" w:hAnsi="Consolas"/>
          <w:sz w:val="18"/>
        </w:rPr>
        <w:t>Auth Type:               Username/Password</w:t>
      </w:r>
    </w:p>
    <w:p>
      <w:pPr>
        <w:pStyle w:val="NoSpacing"/>
        <w:shd w:fill="F5F5F5" w:val="clear"/>
        <w:ind w:left="432"/>
      </w:pPr>
      <w:r>
        <w:rPr>
          <w:rFonts w:ascii="Consolas" w:hAnsi="Consolas"/>
          <w:sz w:val="18"/>
        </w:rPr>
        <w:t>Username:                integration.user@company.com</w:t>
      </w:r>
    </w:p>
    <w:p>
      <w:pPr>
        <w:pStyle w:val="NoSpacing"/>
        <w:shd w:fill="F5F5F5" w:val="clear"/>
        <w:ind w:left="432"/>
      </w:pPr>
      <w:r>
        <w:rPr>
          <w:rFonts w:ascii="Consolas" w:hAnsi="Consolas"/>
          <w:sz w:val="18"/>
        </w:rPr>
        <w:t>Password:                ********</w:t>
      </w:r>
    </w:p>
    <w:p>
      <w:pPr>
        <w:pStyle w:val="NoSpacing"/>
        <w:shd w:fill="F5F5F5" w:val="clear"/>
        <w:ind w:left="432"/>
      </w:pPr>
      <w:r>
        <w:rPr>
          <w:rFonts w:ascii="Consolas" w:hAnsi="Consolas"/>
          <w:sz w:val="18"/>
        </w:rPr>
        <w:t>Security Token:          &lt;from Salesforce user settings&gt;</w:t>
      </w:r>
    </w:p>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Salesforce security tokens reset when passwords change. OAuth 2.0 avoids this issue entirely and is strongly recommended for production environments.</w:t>
      </w:r>
    </w:p>
    <w:p/>
    <w:p>
      <w:r>
        <w:br w:type="page"/>
      </w:r>
    </w:p>
    <w:p>
      <w:pPr>
        <w:pStyle w:val="Heading1"/>
      </w:pPr>
      <w:r>
        <w:t>2. Bulk API vs SOAP API</w:t>
      </w:r>
    </w:p>
    <w:p>
      <w:r>
        <w:t>Informatica supports both Salesforce Bulk API (v2.0) and SOAP API. The choice impacts performance, governor limit consumption, and functionality.</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Feature</w:t>
            </w:r>
          </w:p>
        </w:tc>
        <w:tc>
          <w:tcPr>
            <w:tcW w:type="dxa" w:w="3135"/>
            <w:shd w:fill="0C548A" w:val="clear"/>
          </w:tcPr>
          <w:p>
            <w:r>
              <w:rPr>
                <w:b/>
                <w:color w:val="FFFFFF"/>
                <w:sz w:val="20"/>
              </w:rPr>
              <w:t>Bulk API 2.0</w:t>
            </w:r>
          </w:p>
        </w:tc>
        <w:tc>
          <w:tcPr>
            <w:tcW w:type="dxa" w:w="3135"/>
            <w:shd w:fill="0C548A" w:val="clear"/>
          </w:tcPr>
          <w:p>
            <w:r>
              <w:rPr>
                <w:b/>
                <w:color w:val="FFFFFF"/>
                <w:sz w:val="20"/>
              </w:rPr>
              <w:t>SOAP API</w:t>
            </w:r>
          </w:p>
        </w:tc>
      </w:tr>
      <w:tr>
        <w:tc>
          <w:tcPr>
            <w:tcW w:type="dxa" w:w="3135"/>
          </w:tcPr>
          <w:p>
            <w:r>
              <w:rPr>
                <w:sz w:val="20"/>
              </w:rPr>
              <w:t>Best For</w:t>
            </w:r>
          </w:p>
        </w:tc>
        <w:tc>
          <w:tcPr>
            <w:tcW w:type="dxa" w:w="3135"/>
          </w:tcPr>
          <w:p>
            <w:r>
              <w:rPr>
                <w:sz w:val="20"/>
              </w:rPr>
              <w:t>Large volumes (&gt;10,000 records)</w:t>
            </w:r>
          </w:p>
        </w:tc>
        <w:tc>
          <w:tcPr>
            <w:tcW w:type="dxa" w:w="3135"/>
          </w:tcPr>
          <w:p>
            <w:r>
              <w:rPr>
                <w:sz w:val="20"/>
              </w:rPr>
              <w:t>Small volumes, complex logic</w:t>
            </w:r>
          </w:p>
        </w:tc>
      </w:tr>
      <w:tr>
        <w:tc>
          <w:tcPr>
            <w:tcW w:type="dxa" w:w="3135"/>
            <w:shd w:fill="F4F6FA" w:val="clear"/>
          </w:tcPr>
          <w:p>
            <w:r>
              <w:rPr>
                <w:sz w:val="20"/>
              </w:rPr>
              <w:t>Processing</w:t>
            </w:r>
          </w:p>
        </w:tc>
        <w:tc>
          <w:tcPr>
            <w:tcW w:type="dxa" w:w="3135"/>
            <w:shd w:fill="F4F6FA" w:val="clear"/>
          </w:tcPr>
          <w:p>
            <w:r>
              <w:rPr>
                <w:sz w:val="20"/>
              </w:rPr>
              <w:t>Asynchronous, batched</w:t>
            </w:r>
          </w:p>
        </w:tc>
        <w:tc>
          <w:tcPr>
            <w:tcW w:type="dxa" w:w="3135"/>
            <w:shd w:fill="F4F6FA" w:val="clear"/>
          </w:tcPr>
          <w:p>
            <w:r>
              <w:rPr>
                <w:sz w:val="20"/>
              </w:rPr>
              <w:t>Synchronous, record-by-record</w:t>
            </w:r>
          </w:p>
        </w:tc>
      </w:tr>
      <w:tr>
        <w:tc>
          <w:tcPr>
            <w:tcW w:type="dxa" w:w="3135"/>
          </w:tcPr>
          <w:p>
            <w:r>
              <w:rPr>
                <w:sz w:val="20"/>
              </w:rPr>
              <w:t>API Calls Consumed</w:t>
            </w:r>
          </w:p>
        </w:tc>
        <w:tc>
          <w:tcPr>
            <w:tcW w:type="dxa" w:w="3135"/>
          </w:tcPr>
          <w:p>
            <w:r>
              <w:rPr>
                <w:sz w:val="20"/>
              </w:rPr>
              <w:t>Low (batch-based)</w:t>
            </w:r>
          </w:p>
        </w:tc>
        <w:tc>
          <w:tcPr>
            <w:tcW w:type="dxa" w:w="3135"/>
          </w:tcPr>
          <w:p>
            <w:r>
              <w:rPr>
                <w:sz w:val="20"/>
              </w:rPr>
              <w:t>High (per-record)</w:t>
            </w:r>
          </w:p>
        </w:tc>
      </w:tr>
      <w:tr>
        <w:tc>
          <w:tcPr>
            <w:tcW w:type="dxa" w:w="3135"/>
            <w:shd w:fill="F4F6FA" w:val="clear"/>
          </w:tcPr>
          <w:p>
            <w:r>
              <w:rPr>
                <w:sz w:val="20"/>
              </w:rPr>
              <w:t>Max Batch Size</w:t>
            </w:r>
          </w:p>
        </w:tc>
        <w:tc>
          <w:tcPr>
            <w:tcW w:type="dxa" w:w="3135"/>
            <w:shd w:fill="F4F6FA" w:val="clear"/>
          </w:tcPr>
          <w:p>
            <w:r>
              <w:rPr>
                <w:sz w:val="20"/>
              </w:rPr>
              <w:t>150 MB or 150M characters</w:t>
            </w:r>
          </w:p>
        </w:tc>
        <w:tc>
          <w:tcPr>
            <w:tcW w:type="dxa" w:w="3135"/>
            <w:shd w:fill="F4F6FA" w:val="clear"/>
          </w:tcPr>
          <w:p>
            <w:r>
              <w:rPr>
                <w:sz w:val="20"/>
              </w:rPr>
              <w:t>200 records per call</w:t>
            </w:r>
          </w:p>
        </w:tc>
      </w:tr>
      <w:tr>
        <w:tc>
          <w:tcPr>
            <w:tcW w:type="dxa" w:w="3135"/>
          </w:tcPr>
          <w:p>
            <w:r>
              <w:rPr>
                <w:sz w:val="20"/>
              </w:rPr>
              <w:t>Relationship Queries</w:t>
            </w:r>
          </w:p>
        </w:tc>
        <w:tc>
          <w:tcPr>
            <w:tcW w:type="dxa" w:w="3135"/>
          </w:tcPr>
          <w:p>
            <w:r>
              <w:rPr>
                <w:sz w:val="20"/>
              </w:rPr>
              <w:t>Limited</w:t>
            </w:r>
          </w:p>
        </w:tc>
        <w:tc>
          <w:tcPr>
            <w:tcW w:type="dxa" w:w="3135"/>
          </w:tcPr>
          <w:p>
            <w:r>
              <w:rPr>
                <w:sz w:val="20"/>
              </w:rPr>
              <w:t>Full support</w:t>
            </w:r>
          </w:p>
        </w:tc>
      </w:tr>
      <w:tr>
        <w:tc>
          <w:tcPr>
            <w:tcW w:type="dxa" w:w="3135"/>
            <w:shd w:fill="F4F6FA" w:val="clear"/>
          </w:tcPr>
          <w:p>
            <w:r>
              <w:rPr>
                <w:sz w:val="20"/>
              </w:rPr>
              <w:t>Binary/Blob Fields</w:t>
            </w:r>
          </w:p>
        </w:tc>
        <w:tc>
          <w:tcPr>
            <w:tcW w:type="dxa" w:w="3135"/>
            <w:shd w:fill="F4F6FA" w:val="clear"/>
          </w:tcPr>
          <w:p>
            <w:r>
              <w:rPr>
                <w:sz w:val="20"/>
              </w:rPr>
              <w:t>Not supported</w:t>
            </w:r>
          </w:p>
        </w:tc>
        <w:tc>
          <w:tcPr>
            <w:tcW w:type="dxa" w:w="3135"/>
            <w:shd w:fill="F4F6FA" w:val="clear"/>
          </w:tcPr>
          <w:p>
            <w:r>
              <w:rPr>
                <w:sz w:val="20"/>
              </w:rPr>
              <w:t>Supported</w:t>
            </w:r>
          </w:p>
        </w:tc>
      </w:tr>
      <w:tr>
        <w:tc>
          <w:tcPr>
            <w:tcW w:type="dxa" w:w="3135"/>
          </w:tcPr>
          <w:p>
            <w:r>
              <w:rPr>
                <w:sz w:val="20"/>
              </w:rPr>
              <w:t>Error Handling</w:t>
            </w:r>
          </w:p>
        </w:tc>
        <w:tc>
          <w:tcPr>
            <w:tcW w:type="dxa" w:w="3135"/>
          </w:tcPr>
          <w:p>
            <w:r>
              <w:rPr>
                <w:sz w:val="20"/>
              </w:rPr>
              <w:t>Batch-level results CSV</w:t>
            </w:r>
          </w:p>
        </w:tc>
        <w:tc>
          <w:tcPr>
            <w:tcW w:type="dxa" w:w="3135"/>
          </w:tcPr>
          <w:p>
            <w:r>
              <w:rPr>
                <w:sz w:val="20"/>
              </w:rPr>
              <w:t>Per-record SOAP fault</w:t>
            </w:r>
          </w:p>
        </w:tc>
      </w:tr>
    </w:tbl>
    <w:p/>
    <w:p>
      <w:pPr>
        <w:pStyle w:val="Heading2"/>
      </w:pPr>
      <w:r>
        <w:t>2.1 API Selection in IDMC</w:t>
      </w:r>
    </w:p>
    <w:p>
      <w:pPr>
        <w:pStyle w:val="NoSpacing"/>
        <w:shd w:fill="F5F5F5" w:val="clear"/>
        <w:ind w:left="432"/>
      </w:pPr>
      <w:r>
        <w:rPr>
          <w:rFonts w:ascii="Consolas" w:hAnsi="Consolas"/>
          <w:sz w:val="18"/>
        </w:rPr>
        <w:t>Source / Target Properties:</w:t>
      </w:r>
    </w:p>
    <w:p>
      <w:pPr>
        <w:pStyle w:val="NoSpacing"/>
        <w:shd w:fill="F5F5F5" w:val="clear"/>
        <w:ind w:left="432"/>
      </w:pPr>
      <w:r>
        <w:rPr>
          <w:rFonts w:ascii="Consolas" w:hAnsi="Consolas"/>
          <w:sz w:val="18"/>
        </w:rPr>
        <w:t xml:space="preserve">  API Type:              Bulk API 2.0   (for large volumes)</w:t>
      </w:r>
    </w:p>
    <w:p>
      <w:pPr>
        <w:pStyle w:val="NoSpacing"/>
        <w:shd w:fill="F5F5F5" w:val="clear"/>
        <w:ind w:left="432"/>
      </w:pPr>
      <w:r>
        <w:rPr>
          <w:rFonts w:ascii="Consolas" w:hAnsi="Consolas"/>
          <w:sz w:val="18"/>
        </w:rPr>
        <w:t xml:space="preserve">                    or:  SOAP API        (for complex queries)</w:t>
      </w:r>
    </w:p>
    <w:p>
      <w:pPr>
        <w:pStyle w:val="NoSpacing"/>
        <w:shd w:fill="F5F5F5" w:val="clear"/>
        <w:ind w:left="432"/>
      </w:pPr>
      <w:r>
        <w:rPr>
          <w:rFonts w:ascii="Consolas" w:hAnsi="Consolas"/>
          <w:sz w:val="18"/>
        </w:rPr>
        <w:t xml:space="preserve">  Bulk API Serial Mode:  Enabled         (for shared governor limits)</w:t>
      </w:r>
    </w:p>
    <w:p>
      <w:pPr>
        <w:pStyle w:val="NoSpacing"/>
        <w:shd w:fill="F5F5F5" w:val="clear"/>
        <w:ind w:left="432"/>
      </w:pPr>
      <w:r>
        <w:rPr>
          <w:rFonts w:ascii="Consolas" w:hAnsi="Consolas"/>
          <w:sz w:val="18"/>
        </w:rPr>
        <w:t xml:space="preserve">  Concurrency Mode:      Parallel        (default for Bulk API)</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Salesforce Bulk API 2.0 automatically splits data into optimal batches. Serial mode processes batches sequentially, reducing lock contention on shared objects.</w:t>
      </w:r>
    </w:p>
    <w:p/>
    <w:p>
      <w:r>
        <w:br w:type="page"/>
      </w:r>
    </w:p>
    <w:p>
      <w:pPr>
        <w:pStyle w:val="Heading1"/>
      </w:pPr>
      <w:r>
        <w:t>3. Standard &amp; Custom Object Access</w:t>
      </w:r>
    </w:p>
    <w:p>
      <w:pPr>
        <w:pStyle w:val="Heading2"/>
      </w:pPr>
      <w:r>
        <w:t>3.1 Standard Objects</w:t>
      </w:r>
    </w:p>
    <w:p>
      <w:r>
        <w:t>Informatica metadata import discovers all standard objects the connected user has access to.</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Object</w:t>
            </w:r>
          </w:p>
        </w:tc>
        <w:tc>
          <w:tcPr>
            <w:tcW w:type="dxa" w:w="3135"/>
            <w:shd w:fill="0C548A" w:val="clear"/>
          </w:tcPr>
          <w:p>
            <w:r>
              <w:rPr>
                <w:b/>
                <w:color w:val="FFFFFF"/>
                <w:sz w:val="20"/>
              </w:rPr>
              <w:t>API Name</w:t>
            </w:r>
          </w:p>
        </w:tc>
        <w:tc>
          <w:tcPr>
            <w:tcW w:type="dxa" w:w="3135"/>
            <w:shd w:fill="0C548A" w:val="clear"/>
          </w:tcPr>
          <w:p>
            <w:r>
              <w:rPr>
                <w:b/>
                <w:color w:val="FFFFFF"/>
                <w:sz w:val="20"/>
              </w:rPr>
              <w:t>Common Use Case</w:t>
            </w:r>
          </w:p>
        </w:tc>
      </w:tr>
      <w:tr>
        <w:tc>
          <w:tcPr>
            <w:tcW w:type="dxa" w:w="3135"/>
          </w:tcPr>
          <w:p>
            <w:r>
              <w:rPr>
                <w:sz w:val="20"/>
              </w:rPr>
              <w:t>Account</w:t>
            </w:r>
          </w:p>
        </w:tc>
        <w:tc>
          <w:tcPr>
            <w:tcW w:type="dxa" w:w="3135"/>
          </w:tcPr>
          <w:p>
            <w:r>
              <w:rPr>
                <w:sz w:val="20"/>
              </w:rPr>
              <w:t>Account</w:t>
            </w:r>
          </w:p>
        </w:tc>
        <w:tc>
          <w:tcPr>
            <w:tcW w:type="dxa" w:w="3135"/>
          </w:tcPr>
          <w:p>
            <w:r>
              <w:rPr>
                <w:sz w:val="20"/>
              </w:rPr>
              <w:t>Customer/company master data</w:t>
            </w:r>
          </w:p>
        </w:tc>
      </w:tr>
      <w:tr>
        <w:tc>
          <w:tcPr>
            <w:tcW w:type="dxa" w:w="3135"/>
            <w:shd w:fill="F4F6FA" w:val="clear"/>
          </w:tcPr>
          <w:p>
            <w:r>
              <w:rPr>
                <w:sz w:val="20"/>
              </w:rPr>
              <w:t>Contact</w:t>
            </w:r>
          </w:p>
        </w:tc>
        <w:tc>
          <w:tcPr>
            <w:tcW w:type="dxa" w:w="3135"/>
            <w:shd w:fill="F4F6FA" w:val="clear"/>
          </w:tcPr>
          <w:p>
            <w:r>
              <w:rPr>
                <w:sz w:val="20"/>
              </w:rPr>
              <w:t>Contact</w:t>
            </w:r>
          </w:p>
        </w:tc>
        <w:tc>
          <w:tcPr>
            <w:tcW w:type="dxa" w:w="3135"/>
            <w:shd w:fill="F4F6FA" w:val="clear"/>
          </w:tcPr>
          <w:p>
            <w:r>
              <w:rPr>
                <w:sz w:val="20"/>
              </w:rPr>
              <w:t>Individual contact records</w:t>
            </w:r>
          </w:p>
        </w:tc>
      </w:tr>
      <w:tr>
        <w:tc>
          <w:tcPr>
            <w:tcW w:type="dxa" w:w="3135"/>
          </w:tcPr>
          <w:p>
            <w:r>
              <w:rPr>
                <w:sz w:val="20"/>
              </w:rPr>
              <w:t>Opportunity</w:t>
            </w:r>
          </w:p>
        </w:tc>
        <w:tc>
          <w:tcPr>
            <w:tcW w:type="dxa" w:w="3135"/>
          </w:tcPr>
          <w:p>
            <w:r>
              <w:rPr>
                <w:sz w:val="20"/>
              </w:rPr>
              <w:t>Opportunity</w:t>
            </w:r>
          </w:p>
        </w:tc>
        <w:tc>
          <w:tcPr>
            <w:tcW w:type="dxa" w:w="3135"/>
          </w:tcPr>
          <w:p>
            <w:r>
              <w:rPr>
                <w:sz w:val="20"/>
              </w:rPr>
              <w:t>Sales pipeline data</w:t>
            </w:r>
          </w:p>
        </w:tc>
      </w:tr>
      <w:tr>
        <w:tc>
          <w:tcPr>
            <w:tcW w:type="dxa" w:w="3135"/>
            <w:shd w:fill="F4F6FA" w:val="clear"/>
          </w:tcPr>
          <w:p>
            <w:r>
              <w:rPr>
                <w:sz w:val="20"/>
              </w:rPr>
              <w:t>Case</w:t>
            </w:r>
          </w:p>
        </w:tc>
        <w:tc>
          <w:tcPr>
            <w:tcW w:type="dxa" w:w="3135"/>
            <w:shd w:fill="F4F6FA" w:val="clear"/>
          </w:tcPr>
          <w:p>
            <w:r>
              <w:rPr>
                <w:sz w:val="20"/>
              </w:rPr>
              <w:t>Case</w:t>
            </w:r>
          </w:p>
        </w:tc>
        <w:tc>
          <w:tcPr>
            <w:tcW w:type="dxa" w:w="3135"/>
            <w:shd w:fill="F4F6FA" w:val="clear"/>
          </w:tcPr>
          <w:p>
            <w:r>
              <w:rPr>
                <w:sz w:val="20"/>
              </w:rPr>
              <w:t>Service/support ticket data</w:t>
            </w:r>
          </w:p>
        </w:tc>
      </w:tr>
      <w:tr>
        <w:tc>
          <w:tcPr>
            <w:tcW w:type="dxa" w:w="3135"/>
          </w:tcPr>
          <w:p>
            <w:r>
              <w:rPr>
                <w:sz w:val="20"/>
              </w:rPr>
              <w:t>Lead</w:t>
            </w:r>
          </w:p>
        </w:tc>
        <w:tc>
          <w:tcPr>
            <w:tcW w:type="dxa" w:w="3135"/>
          </w:tcPr>
          <w:p>
            <w:r>
              <w:rPr>
                <w:sz w:val="20"/>
              </w:rPr>
              <w:t>Lead</w:t>
            </w:r>
          </w:p>
        </w:tc>
        <w:tc>
          <w:tcPr>
            <w:tcW w:type="dxa" w:w="3135"/>
          </w:tcPr>
          <w:p>
            <w:r>
              <w:rPr>
                <w:sz w:val="20"/>
              </w:rPr>
              <w:t>Marketing lead data</w:t>
            </w:r>
          </w:p>
        </w:tc>
      </w:tr>
      <w:tr>
        <w:tc>
          <w:tcPr>
            <w:tcW w:type="dxa" w:w="3135"/>
            <w:shd w:fill="F4F6FA" w:val="clear"/>
          </w:tcPr>
          <w:p>
            <w:r>
              <w:rPr>
                <w:sz w:val="20"/>
              </w:rPr>
              <w:t>Product</w:t>
            </w:r>
          </w:p>
        </w:tc>
        <w:tc>
          <w:tcPr>
            <w:tcW w:type="dxa" w:w="3135"/>
            <w:shd w:fill="F4F6FA" w:val="clear"/>
          </w:tcPr>
          <w:p>
            <w:r>
              <w:rPr>
                <w:sz w:val="20"/>
              </w:rPr>
              <w:t>Product2</w:t>
            </w:r>
          </w:p>
        </w:tc>
        <w:tc>
          <w:tcPr>
            <w:tcW w:type="dxa" w:w="3135"/>
            <w:shd w:fill="F4F6FA" w:val="clear"/>
          </w:tcPr>
          <w:p>
            <w:r>
              <w:rPr>
                <w:sz w:val="20"/>
              </w:rPr>
              <w:t>Product catalog data</w:t>
            </w:r>
          </w:p>
        </w:tc>
      </w:tr>
    </w:tbl>
    <w:p/>
    <w:p>
      <w:pPr>
        <w:pStyle w:val="Heading2"/>
      </w:pPr>
      <w:r>
        <w:t>3.2 Custom Objects</w:t>
      </w:r>
    </w:p>
    <w:p>
      <w:r>
        <w:t>Custom objects are identified by the __c suffix (e.g., Invoice__c, Shipment__c).</w:t>
      </w:r>
    </w:p>
    <w:p>
      <w:pPr>
        <w:pStyle w:val="ListBullet"/>
      </w:pPr>
      <w:r>
        <w:t>Custom objects appear in metadata import alongside standard objects</w:t>
      </w:r>
    </w:p>
    <w:p>
      <w:pPr>
        <w:pStyle w:val="ListBullet"/>
      </w:pPr>
      <w:r>
        <w:t>Custom fields on standard objects also use __c suffix</w:t>
      </w:r>
    </w:p>
    <w:p>
      <w:pPr>
        <w:pStyle w:val="ListBullet"/>
      </w:pPr>
      <w:r>
        <w:t>Managed package objects use namespace prefix (e.g., npe01__OppPayment__c)</w:t>
      </w:r>
    </w:p>
    <w:p>
      <w:pPr>
        <w:pStyle w:val="Heading2"/>
      </w:pPr>
      <w:r>
        <w:t>3.3 Metadata Import Best Practices</w:t>
      </w:r>
    </w:p>
    <w:p>
      <w:pPr>
        <w:pStyle w:val="ListBullet"/>
      </w:pPr>
      <w:r>
        <w:t>Import only the objects needed for the current mapping (reduces import time)</w:t>
      </w:r>
    </w:p>
    <w:p>
      <w:pPr>
        <w:pStyle w:val="ListBullet"/>
      </w:pPr>
      <w:r>
        <w:t>Re-import metadata when custom fields are added or modified in Salesforce</w:t>
      </w:r>
    </w:p>
    <w:p>
      <w:pPr>
        <w:pStyle w:val="ListBullet"/>
      </w:pPr>
      <w:r>
        <w:t>Use the 'Refresh Metadata' option in IDMC when field-level changes occur</w:t>
      </w:r>
    </w:p>
    <w:p>
      <w:r>
        <w:br w:type="page"/>
      </w:r>
    </w:p>
    <w:p>
      <w:pPr>
        <w:pStyle w:val="Heading1"/>
      </w:pPr>
      <w:r>
        <w:t>4. Relationship Queries</w:t>
      </w:r>
    </w:p>
    <w:p>
      <w:r>
        <w:t>Salesforce relationship queries allow traversing parent-child and lookup relationships in a single SOQL query.</w:t>
      </w:r>
    </w:p>
    <w:p>
      <w:pPr>
        <w:pStyle w:val="Heading2"/>
      </w:pPr>
      <w:r>
        <w:t>4.1 Parent-to-Child (Subquery)</w:t>
      </w:r>
    </w:p>
    <w:p>
      <w:pPr>
        <w:pStyle w:val="NoSpacing"/>
        <w:shd w:fill="F5F5F5" w:val="clear"/>
        <w:ind w:left="432"/>
      </w:pPr>
      <w:r>
        <w:rPr>
          <w:rFonts w:ascii="Consolas" w:hAnsi="Consolas"/>
          <w:sz w:val="18"/>
        </w:rPr>
        <w:t>-- SOQL: Get accounts with their contacts (parent-to-child)</w:t>
      </w:r>
    </w:p>
    <w:p>
      <w:pPr>
        <w:pStyle w:val="NoSpacing"/>
        <w:shd w:fill="F5F5F5" w:val="clear"/>
        <w:ind w:left="432"/>
      </w:pPr>
      <w:r>
        <w:rPr>
          <w:rFonts w:ascii="Consolas" w:hAnsi="Consolas"/>
          <w:sz w:val="18"/>
        </w:rPr>
        <w:t>SELECT Id, Name,</w:t>
      </w:r>
    </w:p>
    <w:p>
      <w:pPr>
        <w:pStyle w:val="NoSpacing"/>
        <w:shd w:fill="F5F5F5" w:val="clear"/>
        <w:ind w:left="432"/>
      </w:pPr>
      <w:r>
        <w:rPr>
          <w:rFonts w:ascii="Consolas" w:hAnsi="Consolas"/>
          <w:sz w:val="18"/>
        </w:rPr>
        <w:t xml:space="preserve">  (SELECT Id, FirstName, LastName, Email FROM Contacts)</w:t>
      </w:r>
    </w:p>
    <w:p>
      <w:pPr>
        <w:pStyle w:val="NoSpacing"/>
        <w:shd w:fill="F5F5F5" w:val="clear"/>
        <w:ind w:left="432"/>
      </w:pPr>
      <w:r>
        <w:rPr>
          <w:rFonts w:ascii="Consolas" w:hAnsi="Consolas"/>
          <w:sz w:val="18"/>
        </w:rPr>
        <w:t>FROM Account</w:t>
      </w:r>
    </w:p>
    <w:p>
      <w:pPr>
        <w:pStyle w:val="NoSpacing"/>
        <w:shd w:fill="F5F5F5" w:val="clear"/>
        <w:ind w:left="432"/>
      </w:pPr>
      <w:r>
        <w:rPr>
          <w:rFonts w:ascii="Consolas" w:hAnsi="Consolas"/>
          <w:sz w:val="18"/>
        </w:rPr>
        <w:t>WHERE Industry = 'Technology'</w:t>
      </w:r>
    </w:p>
    <w:p/>
    <w:p>
      <w:pPr>
        <w:pStyle w:val="Heading2"/>
      </w:pPr>
      <w:r>
        <w:t>4.2 Child-to-Parent (Dot Notation)</w:t>
      </w:r>
    </w:p>
    <w:p>
      <w:pPr>
        <w:pStyle w:val="NoSpacing"/>
        <w:shd w:fill="F5F5F5" w:val="clear"/>
        <w:ind w:left="432"/>
      </w:pPr>
      <w:r>
        <w:rPr>
          <w:rFonts w:ascii="Consolas" w:hAnsi="Consolas"/>
          <w:sz w:val="18"/>
        </w:rPr>
        <w:t>-- SOQL: Get contacts with account details (child-to-parent)</w:t>
      </w:r>
    </w:p>
    <w:p>
      <w:pPr>
        <w:pStyle w:val="NoSpacing"/>
        <w:shd w:fill="F5F5F5" w:val="clear"/>
        <w:ind w:left="432"/>
      </w:pPr>
      <w:r>
        <w:rPr>
          <w:rFonts w:ascii="Consolas" w:hAnsi="Consolas"/>
          <w:sz w:val="18"/>
        </w:rPr>
        <w:t>SELECT Id, FirstName, LastName,</w:t>
      </w:r>
    </w:p>
    <w:p>
      <w:pPr>
        <w:pStyle w:val="NoSpacing"/>
        <w:shd w:fill="F5F5F5" w:val="clear"/>
        <w:ind w:left="432"/>
      </w:pPr>
      <w:r>
        <w:rPr>
          <w:rFonts w:ascii="Consolas" w:hAnsi="Consolas"/>
          <w:sz w:val="18"/>
        </w:rPr>
        <w:t xml:space="preserve">  Account.Name, Account.Industry, Account.BillingCity</w:t>
      </w:r>
    </w:p>
    <w:p>
      <w:pPr>
        <w:pStyle w:val="NoSpacing"/>
        <w:shd w:fill="F5F5F5" w:val="clear"/>
        <w:ind w:left="432"/>
      </w:pPr>
      <w:r>
        <w:rPr>
          <w:rFonts w:ascii="Consolas" w:hAnsi="Consolas"/>
          <w:sz w:val="18"/>
        </w:rPr>
        <w:t>FROM Contact</w:t>
      </w:r>
    </w:p>
    <w:p>
      <w:pPr>
        <w:pStyle w:val="NoSpacing"/>
        <w:shd w:fill="F5F5F5" w:val="clear"/>
        <w:ind w:left="432"/>
      </w:pPr>
      <w:r>
        <w:rPr>
          <w:rFonts w:ascii="Consolas" w:hAnsi="Consolas"/>
          <w:sz w:val="18"/>
        </w:rPr>
        <w:t>WHERE Account.Industry = 'Financial Services'</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Relationship queries via SOAP API support up to 5 levels of parent-child nesting. Bulk API has limited relationship query support - use SOAP API for complex relationship traversals.</w:t>
      </w:r>
    </w:p>
    <w:p/>
    <w:p>
      <w:r>
        <w:br w:type="page"/>
      </w:r>
    </w:p>
    <w:p>
      <w:pPr>
        <w:pStyle w:val="Heading1"/>
      </w:pPr>
      <w:r>
        <w:t>5. Batch Size Optimization</w:t>
      </w:r>
    </w:p>
    <w:p>
      <w:r>
        <w:t>Batch size directly impacts API call consumption and throughput. Optimize based on object complexity and data volume.</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Scenario</w:t>
            </w:r>
          </w:p>
        </w:tc>
        <w:tc>
          <w:tcPr>
            <w:tcW w:type="dxa" w:w="2351"/>
            <w:shd w:fill="0C548A" w:val="clear"/>
          </w:tcPr>
          <w:p>
            <w:r>
              <w:rPr>
                <w:b/>
                <w:color w:val="FFFFFF"/>
                <w:sz w:val="20"/>
              </w:rPr>
              <w:t>Recommended Batch Size</w:t>
            </w:r>
          </w:p>
        </w:tc>
        <w:tc>
          <w:tcPr>
            <w:tcW w:type="dxa" w:w="2351"/>
            <w:shd w:fill="0C548A" w:val="clear"/>
          </w:tcPr>
          <w:p>
            <w:r>
              <w:rPr>
                <w:b/>
                <w:color w:val="FFFFFF"/>
                <w:sz w:val="20"/>
              </w:rPr>
              <w:t>API Type</w:t>
            </w:r>
          </w:p>
        </w:tc>
        <w:tc>
          <w:tcPr>
            <w:tcW w:type="dxa" w:w="2351"/>
            <w:shd w:fill="0C548A" w:val="clear"/>
          </w:tcPr>
          <w:p>
            <w:r>
              <w:rPr>
                <w:b/>
                <w:color w:val="FFFFFF"/>
                <w:sz w:val="20"/>
              </w:rPr>
              <w:t>Rationale</w:t>
            </w:r>
          </w:p>
        </w:tc>
      </w:tr>
      <w:tr>
        <w:tc>
          <w:tcPr>
            <w:tcW w:type="dxa" w:w="2351"/>
          </w:tcPr>
          <w:p>
            <w:r>
              <w:rPr>
                <w:sz w:val="20"/>
              </w:rPr>
              <w:t>Simple objects, large volume</w:t>
            </w:r>
          </w:p>
        </w:tc>
        <w:tc>
          <w:tcPr>
            <w:tcW w:type="dxa" w:w="2351"/>
          </w:tcPr>
          <w:p>
            <w:r>
              <w:rPr>
                <w:sz w:val="20"/>
              </w:rPr>
              <w:t>10,000</w:t>
            </w:r>
          </w:p>
        </w:tc>
        <w:tc>
          <w:tcPr>
            <w:tcW w:type="dxa" w:w="2351"/>
          </w:tcPr>
          <w:p>
            <w:r>
              <w:rPr>
                <w:sz w:val="20"/>
              </w:rPr>
              <w:t>Bulk API</w:t>
            </w:r>
          </w:p>
        </w:tc>
        <w:tc>
          <w:tcPr>
            <w:tcW w:type="dxa" w:w="2351"/>
          </w:tcPr>
          <w:p>
            <w:r>
              <w:rPr>
                <w:sz w:val="20"/>
              </w:rPr>
              <w:t>Maximize throughput</w:t>
            </w:r>
          </w:p>
        </w:tc>
      </w:tr>
      <w:tr>
        <w:tc>
          <w:tcPr>
            <w:tcW w:type="dxa" w:w="2351"/>
            <w:shd w:fill="F4F6FA" w:val="clear"/>
          </w:tcPr>
          <w:p>
            <w:r>
              <w:rPr>
                <w:sz w:val="20"/>
              </w:rPr>
              <w:t>Complex objects with formulas</w:t>
            </w:r>
          </w:p>
        </w:tc>
        <w:tc>
          <w:tcPr>
            <w:tcW w:type="dxa" w:w="2351"/>
            <w:shd w:fill="F4F6FA" w:val="clear"/>
          </w:tcPr>
          <w:p>
            <w:r>
              <w:rPr>
                <w:sz w:val="20"/>
              </w:rPr>
              <w:t>2,000</w:t>
            </w:r>
          </w:p>
        </w:tc>
        <w:tc>
          <w:tcPr>
            <w:tcW w:type="dxa" w:w="2351"/>
            <w:shd w:fill="F4F6FA" w:val="clear"/>
          </w:tcPr>
          <w:p>
            <w:r>
              <w:rPr>
                <w:sz w:val="20"/>
              </w:rPr>
              <w:t>Bulk API</w:t>
            </w:r>
          </w:p>
        </w:tc>
        <w:tc>
          <w:tcPr>
            <w:tcW w:type="dxa" w:w="2351"/>
            <w:shd w:fill="F4F6FA" w:val="clear"/>
          </w:tcPr>
          <w:p>
            <w:r>
              <w:rPr>
                <w:sz w:val="20"/>
              </w:rPr>
              <w:t>Avoid timeout on formula evaluation</w:t>
            </w:r>
          </w:p>
        </w:tc>
      </w:tr>
      <w:tr>
        <w:tc>
          <w:tcPr>
            <w:tcW w:type="dxa" w:w="2351"/>
          </w:tcPr>
          <w:p>
            <w:r>
              <w:rPr>
                <w:sz w:val="20"/>
              </w:rPr>
              <w:t>Small volume (&lt;5,000 records)</w:t>
            </w:r>
          </w:p>
        </w:tc>
        <w:tc>
          <w:tcPr>
            <w:tcW w:type="dxa" w:w="2351"/>
          </w:tcPr>
          <w:p>
            <w:r>
              <w:rPr>
                <w:sz w:val="20"/>
              </w:rPr>
              <w:t>200</w:t>
            </w:r>
          </w:p>
        </w:tc>
        <w:tc>
          <w:tcPr>
            <w:tcW w:type="dxa" w:w="2351"/>
          </w:tcPr>
          <w:p>
            <w:r>
              <w:rPr>
                <w:sz w:val="20"/>
              </w:rPr>
              <w:t>SOAP API</w:t>
            </w:r>
          </w:p>
        </w:tc>
        <w:tc>
          <w:tcPr>
            <w:tcW w:type="dxa" w:w="2351"/>
          </w:tcPr>
          <w:p>
            <w:r>
              <w:rPr>
                <w:sz w:val="20"/>
              </w:rPr>
              <w:t>Direct processing, no async overhead</w:t>
            </w:r>
          </w:p>
        </w:tc>
      </w:tr>
      <w:tr>
        <w:tc>
          <w:tcPr>
            <w:tcW w:type="dxa" w:w="2351"/>
            <w:shd w:fill="F4F6FA" w:val="clear"/>
          </w:tcPr>
          <w:p>
            <w:r>
              <w:rPr>
                <w:sz w:val="20"/>
              </w:rPr>
              <w:t>Objects with triggers/workflows</w:t>
            </w:r>
          </w:p>
        </w:tc>
        <w:tc>
          <w:tcPr>
            <w:tcW w:type="dxa" w:w="2351"/>
            <w:shd w:fill="F4F6FA" w:val="clear"/>
          </w:tcPr>
          <w:p>
            <w:r>
              <w:rPr>
                <w:sz w:val="20"/>
              </w:rPr>
              <w:t>200</w:t>
            </w:r>
          </w:p>
        </w:tc>
        <w:tc>
          <w:tcPr>
            <w:tcW w:type="dxa" w:w="2351"/>
            <w:shd w:fill="F4F6FA" w:val="clear"/>
          </w:tcPr>
          <w:p>
            <w:r>
              <w:rPr>
                <w:sz w:val="20"/>
              </w:rPr>
              <w:t>SOAP API / Bulk Serial</w:t>
            </w:r>
          </w:p>
        </w:tc>
        <w:tc>
          <w:tcPr>
            <w:tcW w:type="dxa" w:w="2351"/>
            <w:shd w:fill="F4F6FA" w:val="clear"/>
          </w:tcPr>
          <w:p>
            <w:r>
              <w:rPr>
                <w:sz w:val="20"/>
              </w:rPr>
              <w:t>Respect trigger governor limits</w:t>
            </w:r>
          </w:p>
        </w:tc>
      </w:tr>
      <w:tr>
        <w:tc>
          <w:tcPr>
            <w:tcW w:type="dxa" w:w="2351"/>
          </w:tcPr>
          <w:p>
            <w:r>
              <w:rPr>
                <w:sz w:val="20"/>
              </w:rPr>
              <w:t>Binary/attachment data</w:t>
            </w:r>
          </w:p>
        </w:tc>
        <w:tc>
          <w:tcPr>
            <w:tcW w:type="dxa" w:w="2351"/>
          </w:tcPr>
          <w:p>
            <w:r>
              <w:rPr>
                <w:sz w:val="20"/>
              </w:rPr>
              <w:t>50</w:t>
            </w:r>
          </w:p>
        </w:tc>
        <w:tc>
          <w:tcPr>
            <w:tcW w:type="dxa" w:w="2351"/>
          </w:tcPr>
          <w:p>
            <w:r>
              <w:rPr>
                <w:sz w:val="20"/>
              </w:rPr>
              <w:t>SOAP API</w:t>
            </w:r>
          </w:p>
        </w:tc>
        <w:tc>
          <w:tcPr>
            <w:tcW w:type="dxa" w:w="2351"/>
          </w:tcPr>
          <w:p>
            <w:r>
              <w:rPr>
                <w:sz w:val="20"/>
              </w:rPr>
              <w:t>Large record payload size</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Salesforce enforces a 10,000 API calls per 24-hour rolling window for professional edition and 100,000 for enterprise. Monitor API usage via Setup &gt; System Overview to avoid hitting limits.</w:t>
      </w:r>
    </w:p>
    <w:p/>
    <w:p>
      <w:r>
        <w:br w:type="page"/>
      </w:r>
    </w:p>
    <w:p>
      <w:pPr>
        <w:pStyle w:val="Heading1"/>
      </w:pPr>
      <w:r>
        <w:t>6. Salesforce CDC Events</w:t>
      </w:r>
    </w:p>
    <w:p>
      <w:r>
        <w:t>Salesforce Change Data Capture (CDC) publishes change events for create, update, delete, and undelete operations on selected objects. IDMC can subscribe to these events for near-real-time integration.</w:t>
      </w:r>
    </w:p>
    <w:p>
      <w:pPr>
        <w:pStyle w:val="Heading2"/>
      </w:pPr>
      <w:r>
        <w:t>6.1 Enabling CDC</w:t>
      </w:r>
    </w:p>
    <w:p>
      <w:pPr>
        <w:pStyle w:val="ListNumber"/>
      </w:pPr>
      <w:r>
        <w:t>In Salesforce Setup, navigate to Change Data Capture</w:t>
      </w:r>
    </w:p>
    <w:p>
      <w:pPr>
        <w:pStyle w:val="ListNumber"/>
      </w:pPr>
      <w:r>
        <w:t>Select objects to enable CDC (standard and custom objects supported)</w:t>
      </w:r>
    </w:p>
    <w:p>
      <w:pPr>
        <w:pStyle w:val="ListNumber"/>
      </w:pPr>
      <w:r>
        <w:t>Configure retention period (default: 3 days)</w:t>
      </w:r>
    </w:p>
    <w:p>
      <w:pPr>
        <w:pStyle w:val="Heading2"/>
      </w:pPr>
      <w:r>
        <w:t>6.2 IDMC CDC Configuration</w:t>
      </w:r>
    </w:p>
    <w:p>
      <w:pPr>
        <w:pStyle w:val="NoSpacing"/>
        <w:shd w:fill="F5F5F5" w:val="clear"/>
        <w:ind w:left="432"/>
      </w:pPr>
      <w:r>
        <w:rPr>
          <w:rFonts w:ascii="Consolas" w:hAnsi="Consolas"/>
          <w:sz w:val="18"/>
        </w:rPr>
        <w:t>Source Type:             Salesforce CDC</w:t>
      </w:r>
    </w:p>
    <w:p>
      <w:pPr>
        <w:pStyle w:val="NoSpacing"/>
        <w:shd w:fill="F5F5F5" w:val="clear"/>
        <w:ind w:left="432"/>
      </w:pPr>
      <w:r>
        <w:rPr>
          <w:rFonts w:ascii="Consolas" w:hAnsi="Consolas"/>
          <w:sz w:val="18"/>
        </w:rPr>
        <w:t>Connection:              SFDC_PROD</w:t>
      </w:r>
    </w:p>
    <w:p>
      <w:pPr>
        <w:pStyle w:val="NoSpacing"/>
        <w:shd w:fill="F5F5F5" w:val="clear"/>
        <w:ind w:left="432"/>
      </w:pPr>
      <w:r>
        <w:rPr>
          <w:rFonts w:ascii="Consolas" w:hAnsi="Consolas"/>
          <w:sz w:val="18"/>
        </w:rPr>
        <w:t>CDC Object:              AccountChangeEvent</w:t>
      </w:r>
    </w:p>
    <w:p>
      <w:pPr>
        <w:pStyle w:val="NoSpacing"/>
        <w:shd w:fill="F5F5F5" w:val="clear"/>
        <w:ind w:left="432"/>
      </w:pPr>
      <w:r>
        <w:rPr>
          <w:rFonts w:ascii="Consolas" w:hAnsi="Consolas"/>
          <w:sz w:val="18"/>
        </w:rPr>
        <w:t>Replay ID:               -1 (latest) or specific replay ID</w:t>
      </w:r>
    </w:p>
    <w:p>
      <w:pPr>
        <w:pStyle w:val="NoSpacing"/>
        <w:shd w:fill="F5F5F5" w:val="clear"/>
        <w:ind w:left="432"/>
      </w:pPr>
      <w:r>
        <w:rPr>
          <w:rFonts w:ascii="Consolas" w:hAnsi="Consolas"/>
          <w:sz w:val="18"/>
        </w:rPr>
        <w:t>Subscription Channel:    /data/AccountChangeEvent</w:t>
      </w:r>
    </w:p>
    <w:p>
      <w:pPr>
        <w:pStyle w:val="NoSpacing"/>
        <w:shd w:fill="F5F5F5" w:val="clear"/>
        <w:ind w:left="432"/>
      </w:pPr>
      <w:r>
        <w:rPr>
          <w:rFonts w:ascii="Consolas" w:hAnsi="Consolas"/>
          <w:sz w:val="18"/>
        </w:rPr>
        <w:t>Processing Mode:         Continuous</w:t>
      </w:r>
    </w:p>
    <w:p/>
    <w:p>
      <w:pPr>
        <w:pStyle w:val="Heading2"/>
      </w:pPr>
      <w:r>
        <w:t>6.3 CDC Event Structure</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Field</w:t>
            </w:r>
          </w:p>
        </w:tc>
        <w:tc>
          <w:tcPr>
            <w:tcW w:type="dxa" w:w="3135"/>
            <w:shd w:fill="0C548A" w:val="clear"/>
          </w:tcPr>
          <w:p>
            <w:r>
              <w:rPr>
                <w:b/>
                <w:color w:val="FFFFFF"/>
                <w:sz w:val="20"/>
              </w:rPr>
              <w:t>Description</w:t>
            </w:r>
          </w:p>
        </w:tc>
        <w:tc>
          <w:tcPr>
            <w:tcW w:type="dxa" w:w="3135"/>
            <w:shd w:fill="0C548A" w:val="clear"/>
          </w:tcPr>
          <w:p>
            <w:r>
              <w:rPr>
                <w:b/>
                <w:color w:val="FFFFFF"/>
                <w:sz w:val="20"/>
              </w:rPr>
              <w:t>Usage</w:t>
            </w:r>
          </w:p>
        </w:tc>
      </w:tr>
      <w:tr>
        <w:tc>
          <w:tcPr>
            <w:tcW w:type="dxa" w:w="3135"/>
          </w:tcPr>
          <w:p>
            <w:r>
              <w:rPr>
                <w:sz w:val="20"/>
              </w:rPr>
              <w:t>ChangeEventHeader.changeType</w:t>
            </w:r>
          </w:p>
        </w:tc>
        <w:tc>
          <w:tcPr>
            <w:tcW w:type="dxa" w:w="3135"/>
          </w:tcPr>
          <w:p>
            <w:r>
              <w:rPr>
                <w:sz w:val="20"/>
              </w:rPr>
              <w:t>CREATE, UPDATE, DELETE, UNDELETE</w:t>
            </w:r>
          </w:p>
        </w:tc>
        <w:tc>
          <w:tcPr>
            <w:tcW w:type="dxa" w:w="3135"/>
          </w:tcPr>
          <w:p>
            <w:r>
              <w:rPr>
                <w:sz w:val="20"/>
              </w:rPr>
              <w:t>Route to insert/update/delete logic</w:t>
            </w:r>
          </w:p>
        </w:tc>
      </w:tr>
      <w:tr>
        <w:tc>
          <w:tcPr>
            <w:tcW w:type="dxa" w:w="3135"/>
            <w:shd w:fill="F4F6FA" w:val="clear"/>
          </w:tcPr>
          <w:p>
            <w:r>
              <w:rPr>
                <w:sz w:val="20"/>
              </w:rPr>
              <w:t>ChangeEventHeader.changedFields</w:t>
            </w:r>
          </w:p>
        </w:tc>
        <w:tc>
          <w:tcPr>
            <w:tcW w:type="dxa" w:w="3135"/>
            <w:shd w:fill="F4F6FA" w:val="clear"/>
          </w:tcPr>
          <w:p>
            <w:r>
              <w:rPr>
                <w:sz w:val="20"/>
              </w:rPr>
              <w:t>List of changed field names</w:t>
            </w:r>
          </w:p>
        </w:tc>
        <w:tc>
          <w:tcPr>
            <w:tcW w:type="dxa" w:w="3135"/>
            <w:shd w:fill="F4F6FA" w:val="clear"/>
          </w:tcPr>
          <w:p>
            <w:r>
              <w:rPr>
                <w:sz w:val="20"/>
              </w:rPr>
              <w:t>Process only changed columns</w:t>
            </w:r>
          </w:p>
        </w:tc>
      </w:tr>
      <w:tr>
        <w:tc>
          <w:tcPr>
            <w:tcW w:type="dxa" w:w="3135"/>
          </w:tcPr>
          <w:p>
            <w:r>
              <w:rPr>
                <w:sz w:val="20"/>
              </w:rPr>
              <w:t>ChangeEventHeader.commitTimestamp</w:t>
            </w:r>
          </w:p>
        </w:tc>
        <w:tc>
          <w:tcPr>
            <w:tcW w:type="dxa" w:w="3135"/>
          </w:tcPr>
          <w:p>
            <w:r>
              <w:rPr>
                <w:sz w:val="20"/>
              </w:rPr>
              <w:t>UTC timestamp of change</w:t>
            </w:r>
          </w:p>
        </w:tc>
        <w:tc>
          <w:tcPr>
            <w:tcW w:type="dxa" w:w="3135"/>
          </w:tcPr>
          <w:p>
            <w:r>
              <w:rPr>
                <w:sz w:val="20"/>
              </w:rPr>
              <w:t>Ordering and deduplication</w:t>
            </w:r>
          </w:p>
        </w:tc>
      </w:tr>
      <w:tr>
        <w:tc>
          <w:tcPr>
            <w:tcW w:type="dxa" w:w="3135"/>
            <w:shd w:fill="F4F6FA" w:val="clear"/>
          </w:tcPr>
          <w:p>
            <w:r>
              <w:rPr>
                <w:sz w:val="20"/>
              </w:rPr>
              <w:t>ChangeEventHeader.recordIds</w:t>
            </w:r>
          </w:p>
        </w:tc>
        <w:tc>
          <w:tcPr>
            <w:tcW w:type="dxa" w:w="3135"/>
            <w:shd w:fill="F4F6FA" w:val="clear"/>
          </w:tcPr>
          <w:p>
            <w:r>
              <w:rPr>
                <w:sz w:val="20"/>
              </w:rPr>
              <w:t>List of affected record IDs</w:t>
            </w:r>
          </w:p>
        </w:tc>
        <w:tc>
          <w:tcPr>
            <w:tcW w:type="dxa" w:w="3135"/>
            <w:shd w:fill="F4F6FA" w:val="clear"/>
          </w:tcPr>
          <w:p>
            <w:r>
              <w:rPr>
                <w:sz w:val="20"/>
              </w:rPr>
              <w:t>Identify changed records</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Salesforce CDC instead of polling-based delta detection (SystemModstamp queries). CDC is event-driven, lower latency, and does not consume API calls for change detection.</w:t>
      </w:r>
    </w:p>
    <w:p/>
    <w:p>
      <w:r>
        <w:br w:type="page"/>
      </w:r>
    </w:p>
    <w:p>
      <w:pPr>
        <w:pStyle w:val="Heading1"/>
      </w:pPr>
      <w:r>
        <w:t>7. Platform Events</w:t>
      </w:r>
    </w:p>
    <w:p>
      <w:r>
        <w:t>Platform Events are custom event objects for publish-subscribe messaging within and outside Salesforce.</w:t>
      </w:r>
    </w:p>
    <w:p>
      <w:pPr>
        <w:pStyle w:val="Heading2"/>
      </w:pPr>
      <w:r>
        <w:t>7.1 Use Cases for Platform Events</w:t>
      </w:r>
    </w:p>
    <w:p>
      <w:pPr>
        <w:pStyle w:val="ListBullet"/>
      </w:pPr>
      <w:r>
        <w:t>Real-time order status notifications from Salesforce to external systems</w:t>
      </w:r>
    </w:p>
    <w:p>
      <w:pPr>
        <w:pStyle w:val="ListBullet"/>
      </w:pPr>
      <w:r>
        <w:t>Triggering Informatica workflows from Salesforce user actions</w:t>
      </w:r>
    </w:p>
    <w:p>
      <w:pPr>
        <w:pStyle w:val="ListBullet"/>
      </w:pPr>
      <w:r>
        <w:t>Cross-system event-driven architecture with Salesforce as event producer</w:t>
      </w:r>
    </w:p>
    <w:p>
      <w:pPr>
        <w:pStyle w:val="Heading2"/>
      </w:pPr>
      <w:r>
        <w:t>7.2 IDMC Platform Event Subscription</w:t>
      </w:r>
    </w:p>
    <w:p>
      <w:pPr>
        <w:pStyle w:val="NoSpacing"/>
        <w:shd w:fill="F5F5F5" w:val="clear"/>
        <w:ind w:left="432"/>
      </w:pPr>
      <w:r>
        <w:rPr>
          <w:rFonts w:ascii="Consolas" w:hAnsi="Consolas"/>
          <w:sz w:val="18"/>
        </w:rPr>
        <w:t>Source Type:             Salesforce Platform Event</w:t>
      </w:r>
    </w:p>
    <w:p>
      <w:pPr>
        <w:pStyle w:val="NoSpacing"/>
        <w:shd w:fill="F5F5F5" w:val="clear"/>
        <w:ind w:left="432"/>
      </w:pPr>
      <w:r>
        <w:rPr>
          <w:rFonts w:ascii="Consolas" w:hAnsi="Consolas"/>
          <w:sz w:val="18"/>
        </w:rPr>
        <w:t>Connection:              SFDC_PROD</w:t>
      </w:r>
    </w:p>
    <w:p>
      <w:pPr>
        <w:pStyle w:val="NoSpacing"/>
        <w:shd w:fill="F5F5F5" w:val="clear"/>
        <w:ind w:left="432"/>
      </w:pPr>
      <w:r>
        <w:rPr>
          <w:rFonts w:ascii="Consolas" w:hAnsi="Consolas"/>
          <w:sz w:val="18"/>
        </w:rPr>
        <w:t>Event Object:            Order_Status__e</w:t>
      </w:r>
    </w:p>
    <w:p>
      <w:pPr>
        <w:pStyle w:val="NoSpacing"/>
        <w:shd w:fill="F5F5F5" w:val="clear"/>
        <w:ind w:left="432"/>
      </w:pPr>
      <w:r>
        <w:rPr>
          <w:rFonts w:ascii="Consolas" w:hAnsi="Consolas"/>
          <w:sz w:val="18"/>
        </w:rPr>
        <w:t>Replay ID:               -1 (tip of stream)</w:t>
      </w:r>
    </w:p>
    <w:p>
      <w:pPr>
        <w:pStyle w:val="NoSpacing"/>
        <w:shd w:fill="F5F5F5" w:val="clear"/>
        <w:ind w:left="432"/>
      </w:pPr>
      <w:r>
        <w:rPr>
          <w:rFonts w:ascii="Consolas" w:hAnsi="Consolas"/>
          <w:sz w:val="18"/>
        </w:rPr>
        <w:t>Subscription:            /event/Order_Status__e</w:t>
      </w:r>
    </w:p>
    <w:p/>
    <w:p>
      <w:r>
        <w:br w:type="page"/>
      </w:r>
    </w:p>
    <w:p>
      <w:pPr>
        <w:pStyle w:val="Heading1"/>
      </w:pPr>
      <w:r>
        <w:t>8. Bulk Data Loading &amp; Upsert</w:t>
      </w:r>
    </w:p>
    <w:p>
      <w:pPr>
        <w:pStyle w:val="Heading2"/>
      </w:pPr>
      <w:r>
        <w:t>8.1 Insert Operations</w:t>
      </w:r>
    </w:p>
    <w:p>
      <w:r>
        <w:t>Standard insert creates new records. Use Bulk API for volumes exceeding 10,000 records.</w:t>
      </w:r>
    </w:p>
    <w:p>
      <w:pPr>
        <w:pStyle w:val="ListBullet"/>
      </w:pPr>
      <w:r>
        <w:t>Set operation to 'Insert' in target properties</w:t>
      </w:r>
    </w:p>
    <w:p>
      <w:pPr>
        <w:pStyle w:val="ListBullet"/>
      </w:pPr>
      <w:r>
        <w:t>Map Salesforce required fields (e.g., Name for Account, LastName for Contact)</w:t>
      </w:r>
    </w:p>
    <w:p>
      <w:pPr>
        <w:pStyle w:val="ListBullet"/>
      </w:pPr>
      <w:r>
        <w:t>Handle duplicate detection via Salesforce duplicate rules or pre-load dedup in Informatica</w:t>
      </w:r>
    </w:p>
    <w:p>
      <w:pPr>
        <w:pStyle w:val="Heading2"/>
      </w:pPr>
      <w:r>
        <w:t>8.2 Upsert with External ID</w:t>
      </w:r>
    </w:p>
    <w:p>
      <w:r>
        <w:t>Upsert inserts new records and updates existing ones based on an External ID field.</w:t>
      </w:r>
    </w:p>
    <w:p>
      <w:pPr>
        <w:pStyle w:val="NoSpacing"/>
        <w:shd w:fill="F5F5F5" w:val="clear"/>
        <w:ind w:left="432"/>
      </w:pPr>
      <w:r>
        <w:rPr>
          <w:rFonts w:ascii="Consolas" w:hAnsi="Consolas"/>
          <w:sz w:val="18"/>
        </w:rPr>
        <w:t>Target Properties:</w:t>
      </w:r>
    </w:p>
    <w:p>
      <w:pPr>
        <w:pStyle w:val="NoSpacing"/>
        <w:shd w:fill="F5F5F5" w:val="clear"/>
        <w:ind w:left="432"/>
      </w:pPr>
      <w:r>
        <w:rPr>
          <w:rFonts w:ascii="Consolas" w:hAnsi="Consolas"/>
          <w:sz w:val="18"/>
        </w:rPr>
        <w:t xml:space="preserve">  Operation:             Upsert</w:t>
      </w:r>
    </w:p>
    <w:p>
      <w:pPr>
        <w:pStyle w:val="NoSpacing"/>
        <w:shd w:fill="F5F5F5" w:val="clear"/>
        <w:ind w:left="432"/>
      </w:pPr>
      <w:r>
        <w:rPr>
          <w:rFonts w:ascii="Consolas" w:hAnsi="Consolas"/>
          <w:sz w:val="18"/>
        </w:rPr>
        <w:t xml:space="preserve">  External ID Field:     External_Customer_ID__c</w:t>
      </w:r>
    </w:p>
    <w:p>
      <w:pPr>
        <w:pStyle w:val="NoSpacing"/>
        <w:shd w:fill="F5F5F5" w:val="clear"/>
        <w:ind w:left="432"/>
      </w:pPr>
      <w:r>
        <w:rPr>
          <w:rFonts w:ascii="Consolas" w:hAnsi="Consolas"/>
          <w:sz w:val="18"/>
        </w:rPr>
        <w:t xml:space="preserve">  API Type:              Bulk API 2.0</w:t>
      </w:r>
    </w:p>
    <w:p>
      <w:pPr>
        <w:pStyle w:val="NoSpacing"/>
        <w:shd w:fill="F5F5F5" w:val="clear"/>
        <w:ind w:left="432"/>
      </w:pPr>
      <w:r>
        <w:rPr>
          <w:rFonts w:ascii="Consolas" w:hAnsi="Consolas"/>
          <w:sz w:val="18"/>
        </w:rPr>
        <w:t xml:space="preserve">  Null Handling:         Set null values (field assignment = #N/A)</w:t>
      </w:r>
    </w:p>
    <w:p>
      <w:pPr>
        <w:pStyle w:val="NoSpacing"/>
        <w:shd w:fill="F5F5F5" w:val="clear"/>
        <w:ind w:left="432"/>
      </w:pPr>
      <w:r>
        <w:rPr>
          <w:rFonts w:ascii="Consolas" w:hAnsi="Consolas"/>
          <w:sz w:val="18"/>
        </w:rPr>
        <w:t xml:space="preserve">  Hard Delete:           Disabled</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External ID fields must be marked as 'External ID' and 'Unique' in Salesforce object definition. Create custom indexed External ID fields for efficient upsert matching.</w:t>
      </w:r>
    </w:p>
    <w:p/>
    <w:p>
      <w:pPr>
        <w:pStyle w:val="Heading2"/>
      </w:pPr>
      <w:r>
        <w:t>8.3 Delete &amp; Hard Delete</w:t>
      </w:r>
    </w:p>
    <w:p>
      <w:r>
        <w:t>Soft delete moves records to Salesforce Recycle Bin (recoverable for 15 days). Hard delete permanently removes records and requires 'Bulk API Hard Delete' permission.</w:t>
      </w:r>
    </w:p>
    <w:p>
      <w:r>
        <w:br w:type="page"/>
      </w:r>
    </w:p>
    <w:p>
      <w:pPr>
        <w:pStyle w:val="Heading1"/>
      </w:pPr>
      <w:r>
        <w:t>9. Field-Level Security</w:t>
      </w:r>
    </w:p>
    <w:p>
      <w:r>
        <w:t>Salesforce field-level security (FLS) controls which fields the integration user can read and write.</w:t>
      </w:r>
    </w:p>
    <w:p>
      <w:pPr>
        <w:pStyle w:val="ListBullet"/>
      </w:pPr>
      <w:r>
        <w:t>Fields not visible to the integration user will return null on read</w:t>
      </w:r>
    </w:p>
    <w:p>
      <w:pPr>
        <w:pStyle w:val="ListBullet"/>
      </w:pPr>
      <w:r>
        <w:t>Fields not editable by the integration user will be silently skipped on write</w:t>
      </w:r>
    </w:p>
    <w:p>
      <w:pPr>
        <w:pStyle w:val="ListBullet"/>
      </w:pPr>
      <w:r>
        <w:t>Master-detail relationship fields are read-only after record creation</w:t>
      </w:r>
    </w:p>
    <w:p>
      <w:pPr>
        <w:pStyle w:val="ListBullet"/>
      </w:pPr>
      <w:r>
        <w:t>Formula fields and rollup summary fields are always read-only</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Field Type</w:t>
            </w:r>
          </w:p>
        </w:tc>
        <w:tc>
          <w:tcPr>
            <w:tcW w:type="dxa" w:w="2351"/>
            <w:shd w:fill="0C548A" w:val="clear"/>
          </w:tcPr>
          <w:p>
            <w:r>
              <w:rPr>
                <w:b/>
                <w:color w:val="FFFFFF"/>
                <w:sz w:val="20"/>
              </w:rPr>
              <w:t>Readable</w:t>
            </w:r>
          </w:p>
        </w:tc>
        <w:tc>
          <w:tcPr>
            <w:tcW w:type="dxa" w:w="2351"/>
            <w:shd w:fill="0C548A" w:val="clear"/>
          </w:tcPr>
          <w:p>
            <w:r>
              <w:rPr>
                <w:b/>
                <w:color w:val="FFFFFF"/>
                <w:sz w:val="20"/>
              </w:rPr>
              <w:t>Writable</w:t>
            </w:r>
          </w:p>
        </w:tc>
        <w:tc>
          <w:tcPr>
            <w:tcW w:type="dxa" w:w="2351"/>
            <w:shd w:fill="0C548A" w:val="clear"/>
          </w:tcPr>
          <w:p>
            <w:r>
              <w:rPr>
                <w:b/>
                <w:color w:val="FFFFFF"/>
                <w:sz w:val="20"/>
              </w:rPr>
              <w:t>Notes</w:t>
            </w:r>
          </w:p>
        </w:tc>
      </w:tr>
      <w:tr>
        <w:tc>
          <w:tcPr>
            <w:tcW w:type="dxa" w:w="2351"/>
          </w:tcPr>
          <w:p>
            <w:r>
              <w:rPr>
                <w:sz w:val="20"/>
              </w:rPr>
              <w:t>Standard field</w:t>
            </w:r>
          </w:p>
        </w:tc>
        <w:tc>
          <w:tcPr>
            <w:tcW w:type="dxa" w:w="2351"/>
          </w:tcPr>
          <w:p>
            <w:r>
              <w:rPr>
                <w:sz w:val="20"/>
              </w:rPr>
              <w:t>Per profile/permission</w:t>
            </w:r>
          </w:p>
        </w:tc>
        <w:tc>
          <w:tcPr>
            <w:tcW w:type="dxa" w:w="2351"/>
          </w:tcPr>
          <w:p>
            <w:r>
              <w:rPr>
                <w:sz w:val="20"/>
              </w:rPr>
              <w:t>Per profile/permission</w:t>
            </w:r>
          </w:p>
        </w:tc>
        <w:tc>
          <w:tcPr>
            <w:tcW w:type="dxa" w:w="2351"/>
          </w:tcPr>
          <w:p>
            <w:r>
              <w:rPr>
                <w:sz w:val="20"/>
              </w:rPr>
              <w:t>Check FLS settings</w:t>
            </w:r>
          </w:p>
        </w:tc>
      </w:tr>
      <w:tr>
        <w:tc>
          <w:tcPr>
            <w:tcW w:type="dxa" w:w="2351"/>
            <w:shd w:fill="F4F6FA" w:val="clear"/>
          </w:tcPr>
          <w:p>
            <w:r>
              <w:rPr>
                <w:sz w:val="20"/>
              </w:rPr>
              <w:t>Custom field (__c)</w:t>
            </w:r>
          </w:p>
        </w:tc>
        <w:tc>
          <w:tcPr>
            <w:tcW w:type="dxa" w:w="2351"/>
            <w:shd w:fill="F4F6FA" w:val="clear"/>
          </w:tcPr>
          <w:p>
            <w:r>
              <w:rPr>
                <w:sz w:val="20"/>
              </w:rPr>
              <w:t>Per profile/permission</w:t>
            </w:r>
          </w:p>
        </w:tc>
        <w:tc>
          <w:tcPr>
            <w:tcW w:type="dxa" w:w="2351"/>
            <w:shd w:fill="F4F6FA" w:val="clear"/>
          </w:tcPr>
          <w:p>
            <w:r>
              <w:rPr>
                <w:sz w:val="20"/>
              </w:rPr>
              <w:t>Per profile/permission</w:t>
            </w:r>
          </w:p>
        </w:tc>
        <w:tc>
          <w:tcPr>
            <w:tcW w:type="dxa" w:w="2351"/>
            <w:shd w:fill="F4F6FA" w:val="clear"/>
          </w:tcPr>
          <w:p>
            <w:r>
              <w:rPr>
                <w:sz w:val="20"/>
              </w:rPr>
              <w:t>Check FLS settings</w:t>
            </w:r>
          </w:p>
        </w:tc>
      </w:tr>
      <w:tr>
        <w:tc>
          <w:tcPr>
            <w:tcW w:type="dxa" w:w="2351"/>
          </w:tcPr>
          <w:p>
            <w:r>
              <w:rPr>
                <w:sz w:val="20"/>
              </w:rPr>
              <w:t>Formula field</w:t>
            </w:r>
          </w:p>
        </w:tc>
        <w:tc>
          <w:tcPr>
            <w:tcW w:type="dxa" w:w="2351"/>
          </w:tcPr>
          <w:p>
            <w:r>
              <w:rPr>
                <w:sz w:val="20"/>
              </w:rPr>
              <w:t>Yes (if visible)</w:t>
            </w:r>
          </w:p>
        </w:tc>
        <w:tc>
          <w:tcPr>
            <w:tcW w:type="dxa" w:w="2351"/>
          </w:tcPr>
          <w:p>
            <w:r>
              <w:rPr>
                <w:sz w:val="20"/>
              </w:rPr>
              <w:t>No</w:t>
            </w:r>
          </w:p>
        </w:tc>
        <w:tc>
          <w:tcPr>
            <w:tcW w:type="dxa" w:w="2351"/>
          </w:tcPr>
          <w:p>
            <w:r>
              <w:rPr>
                <w:sz w:val="20"/>
              </w:rPr>
              <w:t>Computed at query time</w:t>
            </w:r>
          </w:p>
        </w:tc>
      </w:tr>
      <w:tr>
        <w:tc>
          <w:tcPr>
            <w:tcW w:type="dxa" w:w="2351"/>
            <w:shd w:fill="F4F6FA" w:val="clear"/>
          </w:tcPr>
          <w:p>
            <w:r>
              <w:rPr>
                <w:sz w:val="20"/>
              </w:rPr>
              <w:t>Rollup summary</w:t>
            </w:r>
          </w:p>
        </w:tc>
        <w:tc>
          <w:tcPr>
            <w:tcW w:type="dxa" w:w="2351"/>
            <w:shd w:fill="F4F6FA" w:val="clear"/>
          </w:tcPr>
          <w:p>
            <w:r>
              <w:rPr>
                <w:sz w:val="20"/>
              </w:rPr>
              <w:t>Yes (if visible)</w:t>
            </w:r>
          </w:p>
        </w:tc>
        <w:tc>
          <w:tcPr>
            <w:tcW w:type="dxa" w:w="2351"/>
            <w:shd w:fill="F4F6FA" w:val="clear"/>
          </w:tcPr>
          <w:p>
            <w:r>
              <w:rPr>
                <w:sz w:val="20"/>
              </w:rPr>
              <w:t>No</w:t>
            </w:r>
          </w:p>
        </w:tc>
        <w:tc>
          <w:tcPr>
            <w:tcW w:type="dxa" w:w="2351"/>
            <w:shd w:fill="F4F6FA" w:val="clear"/>
          </w:tcPr>
          <w:p>
            <w:r>
              <w:rPr>
                <w:sz w:val="20"/>
              </w:rPr>
              <w:t>Computed from child records</w:t>
            </w:r>
          </w:p>
        </w:tc>
      </w:tr>
      <w:tr>
        <w:tc>
          <w:tcPr>
            <w:tcW w:type="dxa" w:w="2351"/>
          </w:tcPr>
          <w:p>
            <w:r>
              <w:rPr>
                <w:sz w:val="20"/>
              </w:rPr>
              <w:t>System field (CreatedDate)</w:t>
            </w:r>
          </w:p>
        </w:tc>
        <w:tc>
          <w:tcPr>
            <w:tcW w:type="dxa" w:w="2351"/>
          </w:tcPr>
          <w:p>
            <w:r>
              <w:rPr>
                <w:sz w:val="20"/>
              </w:rPr>
              <w:t>Yes</w:t>
            </w:r>
          </w:p>
        </w:tc>
        <w:tc>
          <w:tcPr>
            <w:tcW w:type="dxa" w:w="2351"/>
          </w:tcPr>
          <w:p>
            <w:r>
              <w:rPr>
                <w:sz w:val="20"/>
              </w:rPr>
              <w:t>No</w:t>
            </w:r>
          </w:p>
        </w:tc>
        <w:tc>
          <w:tcPr>
            <w:tcW w:type="dxa" w:w="2351"/>
          </w:tcPr>
          <w:p>
            <w:r>
              <w:rPr>
                <w:sz w:val="20"/>
              </w:rPr>
              <w:t>Set by Salesforce system</w:t>
            </w:r>
          </w:p>
        </w:tc>
      </w:tr>
      <w:tr>
        <w:tc>
          <w:tcPr>
            <w:tcW w:type="dxa" w:w="2351"/>
            <w:shd w:fill="F4F6FA" w:val="clear"/>
          </w:tcPr>
          <w:p>
            <w:r>
              <w:rPr>
                <w:sz w:val="20"/>
              </w:rPr>
              <w:t>Encrypted field</w:t>
            </w:r>
          </w:p>
        </w:tc>
        <w:tc>
          <w:tcPr>
            <w:tcW w:type="dxa" w:w="2351"/>
            <w:shd w:fill="F4F6FA" w:val="clear"/>
          </w:tcPr>
          <w:p>
            <w:r>
              <w:rPr>
                <w:sz w:val="20"/>
              </w:rPr>
              <w:t>Yes (if permitted)</w:t>
            </w:r>
          </w:p>
        </w:tc>
        <w:tc>
          <w:tcPr>
            <w:tcW w:type="dxa" w:w="2351"/>
            <w:shd w:fill="F4F6FA" w:val="clear"/>
          </w:tcPr>
          <w:p>
            <w:r>
              <w:rPr>
                <w:sz w:val="20"/>
              </w:rPr>
              <w:t>Yes (if permitted)</w:t>
            </w:r>
          </w:p>
        </w:tc>
        <w:tc>
          <w:tcPr>
            <w:tcW w:type="dxa" w:w="2351"/>
            <w:shd w:fill="F4F6FA" w:val="clear"/>
          </w:tcPr>
          <w:p>
            <w:r>
              <w:rPr>
                <w:sz w:val="20"/>
              </w:rPr>
              <w:t>Shield Platform Encryption</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Always validate field-level security for the integration user profile before building mappings. Missing FLS permissions cause silent data loss - fields are returned as null without errors.</w:t>
      </w:r>
    </w:p>
    <w:p/>
    <w:p>
      <w:r>
        <w:br w:type="page"/>
      </w:r>
    </w:p>
    <w:p>
      <w:pPr>
        <w:pStyle w:val="Heading1"/>
      </w:pPr>
      <w:r>
        <w:t>10. Sandbox vs Production</w:t>
      </w:r>
    </w:p>
    <w:p>
      <w:r>
        <w:t>Maintain separate IDMC connections for each Salesforce environment to prevent accidental production data modification.</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Environment</w:t>
            </w:r>
          </w:p>
        </w:tc>
        <w:tc>
          <w:tcPr>
            <w:tcW w:type="dxa" w:w="2351"/>
            <w:shd w:fill="0C548A" w:val="clear"/>
          </w:tcPr>
          <w:p>
            <w:r>
              <w:rPr>
                <w:b/>
                <w:color w:val="FFFFFF"/>
                <w:sz w:val="20"/>
              </w:rPr>
              <w:t>Login URL</w:t>
            </w:r>
          </w:p>
        </w:tc>
        <w:tc>
          <w:tcPr>
            <w:tcW w:type="dxa" w:w="2351"/>
            <w:shd w:fill="0C548A" w:val="clear"/>
          </w:tcPr>
          <w:p>
            <w:r>
              <w:rPr>
                <w:b/>
                <w:color w:val="FFFFFF"/>
                <w:sz w:val="20"/>
              </w:rPr>
              <w:t>API Limits</w:t>
            </w:r>
          </w:p>
        </w:tc>
        <w:tc>
          <w:tcPr>
            <w:tcW w:type="dxa" w:w="2351"/>
            <w:shd w:fill="0C548A" w:val="clear"/>
          </w:tcPr>
          <w:p>
            <w:r>
              <w:rPr>
                <w:b/>
                <w:color w:val="FFFFFF"/>
                <w:sz w:val="20"/>
              </w:rPr>
              <w:t>Data Scope</w:t>
            </w:r>
          </w:p>
        </w:tc>
      </w:tr>
      <w:tr>
        <w:tc>
          <w:tcPr>
            <w:tcW w:type="dxa" w:w="2351"/>
          </w:tcPr>
          <w:p>
            <w:r>
              <w:rPr>
                <w:sz w:val="20"/>
              </w:rPr>
              <w:t>Production</w:t>
            </w:r>
          </w:p>
        </w:tc>
        <w:tc>
          <w:tcPr>
            <w:tcW w:type="dxa" w:w="2351"/>
          </w:tcPr>
          <w:p>
            <w:r>
              <w:rPr>
                <w:sz w:val="20"/>
              </w:rPr>
              <w:t>login.salesforce.com</w:t>
            </w:r>
          </w:p>
        </w:tc>
        <w:tc>
          <w:tcPr>
            <w:tcW w:type="dxa" w:w="2351"/>
          </w:tcPr>
          <w:p>
            <w:r>
              <w:rPr>
                <w:sz w:val="20"/>
              </w:rPr>
              <w:t>Full entitlement</w:t>
            </w:r>
          </w:p>
        </w:tc>
        <w:tc>
          <w:tcPr>
            <w:tcW w:type="dxa" w:w="2351"/>
          </w:tcPr>
          <w:p>
            <w:r>
              <w:rPr>
                <w:sz w:val="20"/>
              </w:rPr>
              <w:t>Live customer data</w:t>
            </w:r>
          </w:p>
        </w:tc>
      </w:tr>
      <w:tr>
        <w:tc>
          <w:tcPr>
            <w:tcW w:type="dxa" w:w="2351"/>
            <w:shd w:fill="F4F6FA" w:val="clear"/>
          </w:tcPr>
          <w:p>
            <w:r>
              <w:rPr>
                <w:sz w:val="20"/>
              </w:rPr>
              <w:t>Full Sandbox</w:t>
            </w:r>
          </w:p>
        </w:tc>
        <w:tc>
          <w:tcPr>
            <w:tcW w:type="dxa" w:w="2351"/>
            <w:shd w:fill="F4F6FA" w:val="clear"/>
          </w:tcPr>
          <w:p>
            <w:r>
              <w:rPr>
                <w:sz w:val="20"/>
              </w:rPr>
              <w:t>test.salesforce.com</w:t>
            </w:r>
          </w:p>
        </w:tc>
        <w:tc>
          <w:tcPr>
            <w:tcW w:type="dxa" w:w="2351"/>
            <w:shd w:fill="F4F6FA" w:val="clear"/>
          </w:tcPr>
          <w:p>
            <w:r>
              <w:rPr>
                <w:sz w:val="20"/>
              </w:rPr>
              <w:t>Same as production</w:t>
            </w:r>
          </w:p>
        </w:tc>
        <w:tc>
          <w:tcPr>
            <w:tcW w:type="dxa" w:w="2351"/>
            <w:shd w:fill="F4F6FA" w:val="clear"/>
          </w:tcPr>
          <w:p>
            <w:r>
              <w:rPr>
                <w:sz w:val="20"/>
              </w:rPr>
              <w:t>Copy of production data</w:t>
            </w:r>
          </w:p>
        </w:tc>
      </w:tr>
      <w:tr>
        <w:tc>
          <w:tcPr>
            <w:tcW w:type="dxa" w:w="2351"/>
          </w:tcPr>
          <w:p>
            <w:r>
              <w:rPr>
                <w:sz w:val="20"/>
              </w:rPr>
              <w:t>Partial Sandbox</w:t>
            </w:r>
          </w:p>
        </w:tc>
        <w:tc>
          <w:tcPr>
            <w:tcW w:type="dxa" w:w="2351"/>
          </w:tcPr>
          <w:p>
            <w:r>
              <w:rPr>
                <w:sz w:val="20"/>
              </w:rPr>
              <w:t>test.salesforce.com</w:t>
            </w:r>
          </w:p>
        </w:tc>
        <w:tc>
          <w:tcPr>
            <w:tcW w:type="dxa" w:w="2351"/>
          </w:tcPr>
          <w:p>
            <w:r>
              <w:rPr>
                <w:sz w:val="20"/>
              </w:rPr>
              <w:t>Reduced</w:t>
            </w:r>
          </w:p>
        </w:tc>
        <w:tc>
          <w:tcPr>
            <w:tcW w:type="dxa" w:w="2351"/>
          </w:tcPr>
          <w:p>
            <w:r>
              <w:rPr>
                <w:sz w:val="20"/>
              </w:rPr>
              <w:t>Subset + seed data</w:t>
            </w:r>
          </w:p>
        </w:tc>
      </w:tr>
      <w:tr>
        <w:tc>
          <w:tcPr>
            <w:tcW w:type="dxa" w:w="2351"/>
            <w:shd w:fill="F4F6FA" w:val="clear"/>
          </w:tcPr>
          <w:p>
            <w:r>
              <w:rPr>
                <w:sz w:val="20"/>
              </w:rPr>
              <w:t>Developer Sandbox</w:t>
            </w:r>
          </w:p>
        </w:tc>
        <w:tc>
          <w:tcPr>
            <w:tcW w:type="dxa" w:w="2351"/>
            <w:shd w:fill="F4F6FA" w:val="clear"/>
          </w:tcPr>
          <w:p>
            <w:r>
              <w:rPr>
                <w:sz w:val="20"/>
              </w:rPr>
              <w:t>test.salesforce.com</w:t>
            </w:r>
          </w:p>
        </w:tc>
        <w:tc>
          <w:tcPr>
            <w:tcW w:type="dxa" w:w="2351"/>
            <w:shd w:fill="F4F6FA" w:val="clear"/>
          </w:tcPr>
          <w:p>
            <w:r>
              <w:rPr>
                <w:sz w:val="20"/>
              </w:rPr>
              <w:t>Minimal</w:t>
            </w:r>
          </w:p>
        </w:tc>
        <w:tc>
          <w:tcPr>
            <w:tcW w:type="dxa" w:w="2351"/>
            <w:shd w:fill="F4F6FA" w:val="clear"/>
          </w:tcPr>
          <w:p>
            <w:r>
              <w:rPr>
                <w:sz w:val="20"/>
              </w:rPr>
              <w:t>Metadata only, no data</w:t>
            </w:r>
          </w:p>
        </w:tc>
      </w:tr>
      <w:tr>
        <w:tc>
          <w:tcPr>
            <w:tcW w:type="dxa" w:w="2351"/>
          </w:tcPr>
          <w:p>
            <w:r>
              <w:rPr>
                <w:sz w:val="20"/>
              </w:rPr>
              <w:t>Developer Pro</w:t>
            </w:r>
          </w:p>
        </w:tc>
        <w:tc>
          <w:tcPr>
            <w:tcW w:type="dxa" w:w="2351"/>
          </w:tcPr>
          <w:p>
            <w:r>
              <w:rPr>
                <w:sz w:val="20"/>
              </w:rPr>
              <w:t>test.salesforce.com</w:t>
            </w:r>
          </w:p>
        </w:tc>
        <w:tc>
          <w:tcPr>
            <w:tcW w:type="dxa" w:w="2351"/>
          </w:tcPr>
          <w:p>
            <w:r>
              <w:rPr>
                <w:sz w:val="20"/>
              </w:rPr>
              <w:t>Moderate</w:t>
            </w:r>
          </w:p>
        </w:tc>
        <w:tc>
          <w:tcPr>
            <w:tcW w:type="dxa" w:w="2351"/>
          </w:tcPr>
          <w:p>
            <w:r>
              <w:rPr>
                <w:sz w:val="20"/>
              </w:rPr>
              <w:t>Larger data volume allowed</w:t>
            </w:r>
          </w:p>
        </w:tc>
      </w:tr>
    </w:tbl>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Use environment-specific connection names (e.g., SFDC_PROD, SFDC_UAT, SFDC_DEV) and parameterize connections in mapping tasks. Never hard-code production credentials in development mappings.</w:t>
      </w:r>
    </w:p>
    <w:p/>
    <w:p>
      <w:r>
        <w:br w:type="page"/>
      </w:r>
    </w:p>
    <w:p>
      <w:pPr>
        <w:pStyle w:val="Heading1"/>
      </w:pPr>
      <w:r>
        <w:t>11. Governor Limits Handling</w:t>
      </w:r>
    </w:p>
    <w:p>
      <w:r>
        <w:t>Salesforce enforces governor limits to ensure fair resource allocation in the multi-tenant environment.</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Limit</w:t>
            </w:r>
          </w:p>
        </w:tc>
        <w:tc>
          <w:tcPr>
            <w:tcW w:type="dxa" w:w="3135"/>
            <w:shd w:fill="0C548A" w:val="clear"/>
          </w:tcPr>
          <w:p>
            <w:r>
              <w:rPr>
                <w:b/>
                <w:color w:val="FFFFFF"/>
                <w:sz w:val="20"/>
              </w:rPr>
              <w:t>Value</w:t>
            </w:r>
          </w:p>
        </w:tc>
        <w:tc>
          <w:tcPr>
            <w:tcW w:type="dxa" w:w="3135"/>
            <w:shd w:fill="0C548A" w:val="clear"/>
          </w:tcPr>
          <w:p>
            <w:r>
              <w:rPr>
                <w:b/>
                <w:color w:val="FFFFFF"/>
                <w:sz w:val="20"/>
              </w:rPr>
              <w:t>Mitigation Strategy</w:t>
            </w:r>
          </w:p>
        </w:tc>
      </w:tr>
      <w:tr>
        <w:tc>
          <w:tcPr>
            <w:tcW w:type="dxa" w:w="3135"/>
          </w:tcPr>
          <w:p>
            <w:r>
              <w:rPr>
                <w:sz w:val="20"/>
              </w:rPr>
              <w:t>Daily API Calls</w:t>
            </w:r>
          </w:p>
        </w:tc>
        <w:tc>
          <w:tcPr>
            <w:tcW w:type="dxa" w:w="3135"/>
          </w:tcPr>
          <w:p>
            <w:r>
              <w:rPr>
                <w:sz w:val="20"/>
              </w:rPr>
              <w:t>100,000 (Enterprise)</w:t>
            </w:r>
          </w:p>
        </w:tc>
        <w:tc>
          <w:tcPr>
            <w:tcW w:type="dxa" w:w="3135"/>
          </w:tcPr>
          <w:p>
            <w:r>
              <w:rPr>
                <w:sz w:val="20"/>
              </w:rPr>
              <w:t>Use Bulk API; batch operations; monitor usage</w:t>
            </w:r>
          </w:p>
        </w:tc>
      </w:tr>
      <w:tr>
        <w:tc>
          <w:tcPr>
            <w:tcW w:type="dxa" w:w="3135"/>
            <w:shd w:fill="F4F6FA" w:val="clear"/>
          </w:tcPr>
          <w:p>
            <w:r>
              <w:rPr>
                <w:sz w:val="20"/>
              </w:rPr>
              <w:t>Bulk API Batches</w:t>
            </w:r>
          </w:p>
        </w:tc>
        <w:tc>
          <w:tcPr>
            <w:tcW w:type="dxa" w:w="3135"/>
            <w:shd w:fill="F4F6FA" w:val="clear"/>
          </w:tcPr>
          <w:p>
            <w:r>
              <w:rPr>
                <w:sz w:val="20"/>
              </w:rPr>
              <w:t>15,000 / 24 hours</w:t>
            </w:r>
          </w:p>
        </w:tc>
        <w:tc>
          <w:tcPr>
            <w:tcW w:type="dxa" w:w="3135"/>
            <w:shd w:fill="F4F6FA" w:val="clear"/>
          </w:tcPr>
          <w:p>
            <w:r>
              <w:rPr>
                <w:sz w:val="20"/>
              </w:rPr>
              <w:t>Optimize batch size; consolidate jobs</w:t>
            </w:r>
          </w:p>
        </w:tc>
      </w:tr>
      <w:tr>
        <w:tc>
          <w:tcPr>
            <w:tcW w:type="dxa" w:w="3135"/>
          </w:tcPr>
          <w:p>
            <w:r>
              <w:rPr>
                <w:sz w:val="20"/>
              </w:rPr>
              <w:t>SOQL Query Rows</w:t>
            </w:r>
          </w:p>
        </w:tc>
        <w:tc>
          <w:tcPr>
            <w:tcW w:type="dxa" w:w="3135"/>
          </w:tcPr>
          <w:p>
            <w:r>
              <w:rPr>
                <w:sz w:val="20"/>
              </w:rPr>
              <w:t>50,000 per query</w:t>
            </w:r>
          </w:p>
        </w:tc>
        <w:tc>
          <w:tcPr>
            <w:tcW w:type="dxa" w:w="3135"/>
          </w:tcPr>
          <w:p>
            <w:r>
              <w:rPr>
                <w:sz w:val="20"/>
              </w:rPr>
              <w:t>Add filters; use query locator for pagination</w:t>
            </w:r>
          </w:p>
        </w:tc>
      </w:tr>
      <w:tr>
        <w:tc>
          <w:tcPr>
            <w:tcW w:type="dxa" w:w="3135"/>
            <w:shd w:fill="F4F6FA" w:val="clear"/>
          </w:tcPr>
          <w:p>
            <w:r>
              <w:rPr>
                <w:sz w:val="20"/>
              </w:rPr>
              <w:t>SOQL Query Length</w:t>
            </w:r>
          </w:p>
        </w:tc>
        <w:tc>
          <w:tcPr>
            <w:tcW w:type="dxa" w:w="3135"/>
            <w:shd w:fill="F4F6FA" w:val="clear"/>
          </w:tcPr>
          <w:p>
            <w:r>
              <w:rPr>
                <w:sz w:val="20"/>
              </w:rPr>
              <w:t>20,000 characters</w:t>
            </w:r>
          </w:p>
        </w:tc>
        <w:tc>
          <w:tcPr>
            <w:tcW w:type="dxa" w:w="3135"/>
            <w:shd w:fill="F4F6FA" w:val="clear"/>
          </w:tcPr>
          <w:p>
            <w:r>
              <w:rPr>
                <w:sz w:val="20"/>
              </w:rPr>
              <w:t>Simplify queries; avoid deeply nested subqueries</w:t>
            </w:r>
          </w:p>
        </w:tc>
      </w:tr>
      <w:tr>
        <w:tc>
          <w:tcPr>
            <w:tcW w:type="dxa" w:w="3135"/>
          </w:tcPr>
          <w:p>
            <w:r>
              <w:rPr>
                <w:sz w:val="20"/>
              </w:rPr>
              <w:t>Concurrent API Requests</w:t>
            </w:r>
          </w:p>
        </w:tc>
        <w:tc>
          <w:tcPr>
            <w:tcW w:type="dxa" w:w="3135"/>
          </w:tcPr>
          <w:p>
            <w:r>
              <w:rPr>
                <w:sz w:val="20"/>
              </w:rPr>
              <w:t>25 per user</w:t>
            </w:r>
          </w:p>
        </w:tc>
        <w:tc>
          <w:tcPr>
            <w:tcW w:type="dxa" w:w="3135"/>
          </w:tcPr>
          <w:p>
            <w:r>
              <w:rPr>
                <w:sz w:val="20"/>
              </w:rPr>
              <w:t>Serialize jobs; use dedicated integration user</w:t>
            </w:r>
          </w:p>
        </w:tc>
      </w:tr>
      <w:tr>
        <w:tc>
          <w:tcPr>
            <w:tcW w:type="dxa" w:w="3135"/>
            <w:shd w:fill="F4F6FA" w:val="clear"/>
          </w:tcPr>
          <w:p>
            <w:r>
              <w:rPr>
                <w:sz w:val="20"/>
              </w:rPr>
              <w:t>File Storage</w:t>
            </w:r>
          </w:p>
        </w:tc>
        <w:tc>
          <w:tcPr>
            <w:tcW w:type="dxa" w:w="3135"/>
            <w:shd w:fill="F4F6FA" w:val="clear"/>
          </w:tcPr>
          <w:p>
            <w:r>
              <w:rPr>
                <w:sz w:val="20"/>
              </w:rPr>
              <w:t>Varies by edition</w:t>
            </w:r>
          </w:p>
        </w:tc>
        <w:tc>
          <w:tcPr>
            <w:tcW w:type="dxa" w:w="3135"/>
            <w:shd w:fill="F4F6FA" w:val="clear"/>
          </w:tcPr>
          <w:p>
            <w:r>
              <w:rPr>
                <w:sz w:val="20"/>
              </w:rPr>
              <w:t>Archive attachments; use external storage</w:t>
            </w:r>
          </w:p>
        </w:tc>
      </w:tr>
    </w:tbl>
    <w:p/>
    <w:p>
      <w:pPr>
        <w:pStyle w:val="Heading2"/>
      </w:pPr>
      <w:r>
        <w:t>11.1 Handling API Limit Errors</w:t>
      </w:r>
    </w:p>
    <w:p>
      <w:pPr>
        <w:pStyle w:val="ListNumber"/>
      </w:pPr>
      <w:r>
        <w:t>Monitor API usage before job execution: query /services/data/vXX.0/limits</w:t>
      </w:r>
    </w:p>
    <w:p>
      <w:pPr>
        <w:pStyle w:val="ListNumber"/>
      </w:pPr>
      <w:r>
        <w:t>Implement retry logic in IDMC task with exponential backoff for 429 errors</w:t>
      </w:r>
    </w:p>
    <w:p>
      <w:pPr>
        <w:pStyle w:val="ListNumber"/>
      </w:pPr>
      <w:r>
        <w:t>Schedule large extraction jobs during off-peak hours to avoid contention</w:t>
      </w:r>
    </w:p>
    <w:p>
      <w:pPr>
        <w:pStyle w:val="ListNumber"/>
      </w:pPr>
      <w:r>
        <w:t>Request API limit increase from Salesforce for high-volume integration scenarios</w:t>
      </w:r>
    </w:p>
    <w:p>
      <w:r>
        <w:br w:type="page"/>
      </w:r>
    </w:p>
    <w:p>
      <w:pPr>
        <w:pStyle w:val="Heading1"/>
      </w:pPr>
      <w:r>
        <w:t>12. SOQL Optimization</w:t>
      </w:r>
    </w:p>
    <w:p>
      <w:r>
        <w:t>Optimized SOQL queries reduce API consumption, improve performance, and avoid governor limit violations.</w:t>
      </w:r>
    </w:p>
    <w:p>
      <w:pPr>
        <w:pStyle w:val="Heading2"/>
      </w:pPr>
      <w:r>
        <w:t>12.1 Query Optimization Techniques</w:t>
      </w:r>
    </w:p>
    <w:p>
      <w:pPr>
        <w:pStyle w:val="ListNumber"/>
      </w:pPr>
      <w:r>
        <w:t>Always include selective filters (indexed fields: Id, Name, CreatedDate, SystemModstamp)</w:t>
      </w:r>
    </w:p>
    <w:p>
      <w:pPr>
        <w:pStyle w:val="ListNumber"/>
      </w:pPr>
      <w:r>
        <w:t>Use LIMIT clause for testing and development queries</w:t>
      </w:r>
    </w:p>
    <w:p>
      <w:pPr>
        <w:pStyle w:val="ListNumber"/>
      </w:pPr>
      <w:r>
        <w:t>Avoid LIKE '%value%' on non-indexed fields (causes full table scan)</w:t>
      </w:r>
    </w:p>
    <w:p>
      <w:pPr>
        <w:pStyle w:val="ListNumber"/>
      </w:pPr>
      <w:r>
        <w:t>Use IN clause instead of multiple OR conditions for Id-based filters</w:t>
      </w:r>
    </w:p>
    <w:p>
      <w:pPr>
        <w:pStyle w:val="ListNumber"/>
      </w:pPr>
      <w:r>
        <w:t>Query only required fields - avoid SELECT * equivalent in Informatica source</w:t>
      </w:r>
    </w:p>
    <w:p>
      <w:pPr>
        <w:pStyle w:val="Heading2"/>
      </w:pPr>
      <w:r>
        <w:t>12.2 SOQL Examples</w:t>
      </w:r>
    </w:p>
    <w:p>
      <w:pPr>
        <w:pStyle w:val="NoSpacing"/>
        <w:shd w:fill="F5F5F5" w:val="clear"/>
        <w:ind w:left="432"/>
      </w:pPr>
      <w:r>
        <w:rPr>
          <w:rFonts w:ascii="Consolas" w:hAnsi="Consolas"/>
          <w:sz w:val="18"/>
        </w:rPr>
        <w:t>-- Optimized: indexed filter + date range + field selection</w:t>
      </w:r>
    </w:p>
    <w:p>
      <w:pPr>
        <w:pStyle w:val="NoSpacing"/>
        <w:shd w:fill="F5F5F5" w:val="clear"/>
        <w:ind w:left="432"/>
      </w:pPr>
      <w:r>
        <w:rPr>
          <w:rFonts w:ascii="Consolas" w:hAnsi="Consolas"/>
          <w:sz w:val="18"/>
        </w:rPr>
        <w:t>SELECT Id, Name, Industry, AnnualRevenue, LastModifiedDate</w:t>
      </w:r>
    </w:p>
    <w:p>
      <w:pPr>
        <w:pStyle w:val="NoSpacing"/>
        <w:shd w:fill="F5F5F5" w:val="clear"/>
        <w:ind w:left="432"/>
      </w:pPr>
      <w:r>
        <w:rPr>
          <w:rFonts w:ascii="Consolas" w:hAnsi="Consolas"/>
          <w:sz w:val="18"/>
        </w:rPr>
        <w:t>FROM Account</w:t>
      </w:r>
    </w:p>
    <w:p>
      <w:pPr>
        <w:pStyle w:val="NoSpacing"/>
        <w:shd w:fill="F5F5F5" w:val="clear"/>
        <w:ind w:left="432"/>
      </w:pPr>
      <w:r>
        <w:rPr>
          <w:rFonts w:ascii="Consolas" w:hAnsi="Consolas"/>
          <w:sz w:val="18"/>
        </w:rPr>
        <w:t>WHERE Industry IN ('Technology', 'Financial Services')</w:t>
      </w:r>
    </w:p>
    <w:p>
      <w:pPr>
        <w:pStyle w:val="NoSpacing"/>
        <w:shd w:fill="F5F5F5" w:val="clear"/>
        <w:ind w:left="432"/>
      </w:pPr>
      <w:r>
        <w:rPr>
          <w:rFonts w:ascii="Consolas" w:hAnsi="Consolas"/>
          <w:sz w:val="18"/>
        </w:rPr>
        <w:t xml:space="preserve">  AND LastModifiedDate &gt;= 2024-01-01T00:00:00Z</w:t>
      </w:r>
    </w:p>
    <w:p>
      <w:pPr>
        <w:pStyle w:val="NoSpacing"/>
        <w:shd w:fill="F5F5F5" w:val="clear"/>
        <w:ind w:left="432"/>
      </w:pPr>
      <w:r>
        <w:rPr>
          <w:rFonts w:ascii="Consolas" w:hAnsi="Consolas"/>
          <w:sz w:val="18"/>
        </w:rPr>
        <w:t>ORDER BY LastModifiedDate ASC</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Incremental extraction pattern</w:t>
      </w:r>
    </w:p>
    <w:p>
      <w:pPr>
        <w:pStyle w:val="NoSpacing"/>
        <w:shd w:fill="F5F5F5" w:val="clear"/>
        <w:ind w:left="432"/>
      </w:pPr>
      <w:r>
        <w:rPr>
          <w:rFonts w:ascii="Consolas" w:hAnsi="Consolas"/>
          <w:sz w:val="18"/>
        </w:rPr>
        <w:t>SELECT Id, Name, Amount, StageName, CloseDate</w:t>
      </w:r>
    </w:p>
    <w:p>
      <w:pPr>
        <w:pStyle w:val="NoSpacing"/>
        <w:shd w:fill="F5F5F5" w:val="clear"/>
        <w:ind w:left="432"/>
      </w:pPr>
      <w:r>
        <w:rPr>
          <w:rFonts w:ascii="Consolas" w:hAnsi="Consolas"/>
          <w:sz w:val="18"/>
        </w:rPr>
        <w:t>FROM Opportunity</w:t>
      </w:r>
    </w:p>
    <w:p>
      <w:pPr>
        <w:pStyle w:val="NoSpacing"/>
        <w:shd w:fill="F5F5F5" w:val="clear"/>
        <w:ind w:left="432"/>
      </w:pPr>
      <w:r>
        <w:rPr>
          <w:rFonts w:ascii="Consolas" w:hAnsi="Consolas"/>
          <w:sz w:val="18"/>
        </w:rPr>
        <w:t>WHERE SystemModstamp &gt; :lastExtractTimestamp</w:t>
      </w:r>
    </w:p>
    <w:p>
      <w:pPr>
        <w:pStyle w:val="NoSpacing"/>
        <w:shd w:fill="F5F5F5" w:val="clear"/>
        <w:ind w:left="432"/>
      </w:pPr>
      <w:r>
        <w:rPr>
          <w:rFonts w:ascii="Consolas" w:hAnsi="Consolas"/>
          <w:sz w:val="18"/>
        </w:rPr>
        <w:t xml:space="preserve">  AND IsDeleted = false</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SystemModstamp (not LastModifiedDate) for incremental extraction. SystemModstamp captures all changes including workflow-triggered updates that do not update LastModifiedDate.</w:t>
      </w:r>
    </w:p>
    <w:p/>
    <w:p>
      <w:pPr>
        <w:jc w:val="center"/>
      </w:pPr>
      <w:r>
        <w:rPr>
          <w:color w:val="CCCCCC"/>
          <w:sz w:val="16"/>
        </w:rPr>
        <w:t>────────────────────────────────────────────────────────────────────────────────</w:t>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Snowflake Connector Guide</w:t>
            </w:r>
          </w:p>
        </w:tc>
        <w:tc>
          <w:tcPr>
            <w:tcW w:type="dxa" w:w="4703"/>
          </w:tcPr>
          <w:p>
            <w:r>
              <w:rPr>
                <w:sz w:val="20"/>
              </w:rPr>
              <w:t>Connectors Library / #44</w:t>
            </w:r>
          </w:p>
        </w:tc>
      </w:tr>
      <w:tr>
        <w:tc>
          <w:tcPr>
            <w:tcW w:type="dxa" w:w="4703"/>
            <w:shd w:fill="F4F6FA" w:val="clear"/>
          </w:tcPr>
          <w:p>
            <w:r>
              <w:rPr>
                <w:sz w:val="20"/>
              </w:rPr>
              <w:t>SAP Connector Guide</w:t>
            </w:r>
          </w:p>
        </w:tc>
        <w:tc>
          <w:tcPr>
            <w:tcW w:type="dxa" w:w="4703"/>
            <w:shd w:fill="F4F6FA" w:val="clear"/>
          </w:tcPr>
          <w:p>
            <w:r>
              <w:rPr>
                <w:sz w:val="20"/>
              </w:rPr>
              <w:t>Connectors Library / #45</w:t>
            </w:r>
          </w:p>
        </w:tc>
      </w:tr>
      <w:tr>
        <w:tc>
          <w:tcPr>
            <w:tcW w:type="dxa" w:w="4703"/>
          </w:tcPr>
          <w:p>
            <w:r>
              <w:rPr>
                <w:sz w:val="20"/>
              </w:rPr>
              <w:t>Cloud Storage Connectors Guide</w:t>
            </w:r>
          </w:p>
        </w:tc>
        <w:tc>
          <w:tcPr>
            <w:tcW w:type="dxa" w:w="4703"/>
          </w:tcPr>
          <w:p>
            <w:r>
              <w:rPr>
                <w:sz w:val="20"/>
              </w:rPr>
              <w:t>Connectors Library / #47</w:t>
            </w:r>
          </w:p>
        </w:tc>
      </w:tr>
      <w:tr>
        <w:tc>
          <w:tcPr>
            <w:tcW w:type="dxa" w:w="4703"/>
            <w:shd w:fill="F4F6FA" w:val="clear"/>
          </w:tcPr>
          <w:p>
            <w:r>
              <w:rPr>
                <w:sz w:val="20"/>
              </w:rPr>
              <w:t>CDC &amp; Real-Time Patterns</w:t>
            </w:r>
          </w:p>
        </w:tc>
        <w:tc>
          <w:tcPr>
            <w:tcW w:type="dxa" w:w="4703"/>
            <w:shd w:fill="F4F6FA" w:val="clear"/>
          </w:tcPr>
          <w:p>
            <w:r>
              <w:rPr>
                <w:sz w:val="20"/>
              </w:rPr>
              <w:t>Best Practices / Real-Time</w:t>
            </w:r>
          </w:p>
        </w:tc>
      </w:tr>
      <w:tr>
        <w:tc>
          <w:tcPr>
            <w:tcW w:type="dxa" w:w="4703"/>
          </w:tcPr>
          <w:p>
            <w:r>
              <w:rPr>
                <w:sz w:val="20"/>
              </w:rPr>
              <w:t>Data Quality Framework</w:t>
            </w:r>
          </w:p>
        </w:tc>
        <w:tc>
          <w:tcPr>
            <w:tcW w:type="dxa" w:w="4703"/>
          </w:tcPr>
          <w:p>
            <w:r>
              <w:rPr>
                <w:sz w:val="20"/>
              </w:rPr>
              <w:t>Best Practices / Data Quality</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