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Naming Standards Guide</w:t>
      </w:r>
    </w:p>
    <w:p>
      <w:r>
        <w:rPr>
          <w:b/>
          <w:color w:val="FF6D00"/>
          <w:sz w:val="28"/>
        </w:rPr>
        <w:t>Mastech Digital — Informatica Platform Assets</w:t>
      </w:r>
    </w:p>
    <w:p>
      <w:r>
        <w:rPr>
          <w:i/>
          <w:color w:val="4B5563"/>
          <w:sz w:val="22"/>
        </w:rPr>
        <w:t>Establishes naming conventions for all Informatica IDMC asset types to ensure consistency, discoverability, and maintainability.</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Naming Standards Guide</w:t>
            </w:r>
          </w:p>
        </w:tc>
      </w:tr>
      <w:tr>
        <w:tc>
          <w:tcPr>
            <w:tcW w:type="dxa" w:w="4703"/>
            <w:shd w:fill="0C548A" w:val="clear"/>
          </w:tcPr>
          <w:p>
            <w:r>
              <w:rPr>
                <w:b/>
                <w:color w:val="FFFFFF"/>
                <w:sz w:val="20"/>
              </w:rPr>
              <w:t>Category</w:t>
            </w:r>
          </w:p>
        </w:tc>
        <w:tc>
          <w:tcPr>
            <w:tcW w:type="dxa" w:w="4703"/>
          </w:tcPr>
          <w:p>
            <w:r>
              <w:rPr>
                <w:sz w:val="20"/>
              </w:rPr>
              <w:t>Governance Library</w:t>
            </w:r>
          </w:p>
        </w:tc>
      </w:tr>
      <w:tr>
        <w:tc>
          <w:tcPr>
            <w:tcW w:type="dxa" w:w="4703"/>
            <w:shd w:fill="0C548A" w:val="clear"/>
          </w:tcPr>
          <w:p>
            <w:r>
              <w:rPr>
                <w:b/>
                <w:color w:val="FFFFFF"/>
                <w:sz w:val="20"/>
              </w:rPr>
              <w:t>Document ID</w:t>
            </w:r>
          </w:p>
        </w:tc>
        <w:tc>
          <w:tcPr>
            <w:tcW w:type="dxa" w:w="4703"/>
            <w:shd w:fill="F4F6FA" w:val="clear"/>
          </w:tcPr>
          <w:p>
            <w:r>
              <w:rPr>
                <w:sz w:val="20"/>
              </w:rPr>
              <w:t>#52</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Consistent naming conventions are foundational to a well-governed Informatica IDMC environment. This guide defines naming standards for connections, mappings, taskflows, parameters, folders, projects, and all other asset types. Adhering to these conventions improves discoverability, simplifies troubleshooting, enables automation, and reduces onboarding time for new team members. Every asset created in IICS must comply with these standards.</w:t>
      </w:r>
    </w:p>
    <w:p/>
    <w:p>
      <w:pPr>
        <w:pStyle w:val="Heading1"/>
      </w:pPr>
      <w:r>
        <w:t>Table of Contents</w:t>
      </w:r>
    </w:p>
    <w:p>
      <w:pPr>
        <w:spacing w:after="60"/>
      </w:pPr>
      <w:r>
        <w:rPr>
          <w:color w:val="0C548A"/>
          <w:sz w:val="22"/>
        </w:rPr>
        <w:t>1.0  Naming Convention Philosophy</w:t>
      </w:r>
    </w:p>
    <w:p>
      <w:pPr>
        <w:spacing w:after="60"/>
      </w:pPr>
      <w:r>
        <w:rPr>
          <w:color w:val="0C548A"/>
          <w:sz w:val="22"/>
        </w:rPr>
        <w:t>2.0  Connection Naming</w:t>
      </w:r>
    </w:p>
    <w:p>
      <w:pPr>
        <w:spacing w:after="60"/>
      </w:pPr>
      <w:r>
        <w:rPr>
          <w:color w:val="0C548A"/>
          <w:sz w:val="22"/>
        </w:rPr>
        <w:t>3.0  Mapping Naming</w:t>
      </w:r>
    </w:p>
    <w:p>
      <w:pPr>
        <w:spacing w:after="60"/>
      </w:pPr>
      <w:r>
        <w:rPr>
          <w:color w:val="0C548A"/>
          <w:sz w:val="22"/>
        </w:rPr>
        <w:t>4.0  Taskflow Naming</w:t>
      </w:r>
    </w:p>
    <w:p>
      <w:pPr>
        <w:spacing w:after="60"/>
      </w:pPr>
      <w:r>
        <w:rPr>
          <w:color w:val="0C548A"/>
          <w:sz w:val="22"/>
        </w:rPr>
        <w:t>5.0  Parameter Naming</w:t>
      </w:r>
    </w:p>
    <w:p>
      <w:pPr>
        <w:spacing w:after="60"/>
      </w:pPr>
      <w:r>
        <w:rPr>
          <w:color w:val="0C548A"/>
          <w:sz w:val="22"/>
        </w:rPr>
        <w:t>6.0  Folder &amp; Project Structure</w:t>
      </w:r>
    </w:p>
    <w:p>
      <w:pPr>
        <w:spacing w:after="60"/>
      </w:pPr>
      <w:r>
        <w:rPr>
          <w:color w:val="0C548A"/>
          <w:sz w:val="22"/>
        </w:rPr>
        <w:t>7.0  Asset Tagging Standards</w:t>
      </w:r>
    </w:p>
    <w:p>
      <w:pPr>
        <w:spacing w:after="60"/>
      </w:pPr>
      <w:r>
        <w:rPr>
          <w:color w:val="0C548A"/>
          <w:sz w:val="22"/>
        </w:rPr>
        <w:t>8.0  Naming Validation Rules</w:t>
      </w:r>
    </w:p>
    <w:p>
      <w:pPr>
        <w:spacing w:after="60"/>
      </w:pPr>
      <w:r>
        <w:rPr>
          <w:color w:val="0C548A"/>
          <w:sz w:val="22"/>
        </w:rPr>
        <w:t>9.0  Examples by Asset Type</w:t>
      </w:r>
    </w:p>
    <w:p>
      <w:r>
        <w:br w:type="page"/>
      </w:r>
    </w:p>
    <w:p>
      <w:pPr>
        <w:pStyle w:val="Heading1"/>
      </w:pPr>
      <w:r>
        <w:t>Prerequisites &amp; Applicability</w:t>
      </w:r>
    </w:p>
    <w:p>
      <w:pPr>
        <w:pStyle w:val="ListBullet"/>
      </w:pPr>
      <w:r>
        <w:t>IDMC organization and sub-organizations provisioned</w:t>
      </w:r>
    </w:p>
    <w:p>
      <w:pPr>
        <w:pStyle w:val="ListBullet"/>
      </w:pPr>
      <w:r>
        <w:t>Project and folder structure agreed upon</w:t>
      </w:r>
    </w:p>
    <w:p>
      <w:pPr>
        <w:pStyle w:val="ListBullet"/>
      </w:pPr>
      <w:r>
        <w:t>Team briefed on naming convention importance</w:t>
      </w:r>
    </w:p>
    <w:p/>
    <w:p>
      <w:pPr>
        <w:pStyle w:val="Heading1"/>
      </w:pPr>
      <w:r>
        <w:t>1. Naming Convention Philosophy</w:t>
      </w:r>
    </w:p>
    <w:p>
      <w:r>
        <w:t>Good naming conventions follow these principles: they are self-documenting, machine-parseable, consistent, and scalable. A well-named asset tells you what it does, where it belongs, and how it fits into the broader data ecosystem.</w:t>
      </w:r>
    </w:p>
    <w:p>
      <w:pPr>
        <w:pStyle w:val="Heading2"/>
      </w:pPr>
      <w:r>
        <w:t>1.1 Core Principles</w:t>
      </w:r>
    </w:p>
    <w:p>
      <w:pPr>
        <w:pStyle w:val="ListBullet"/>
      </w:pPr>
      <w:r>
        <w:t>Clarity: Names should be understandable without consulting documentation</w:t>
      </w:r>
    </w:p>
    <w:p>
      <w:pPr>
        <w:pStyle w:val="ListBullet"/>
      </w:pPr>
      <w:r>
        <w:t>Consistency: The same naming pattern applies across all assets of a type</w:t>
      </w:r>
    </w:p>
    <w:p>
      <w:pPr>
        <w:pStyle w:val="ListBullet"/>
      </w:pPr>
      <w:r>
        <w:t>Brevity: Keep names concise but not cryptic (aim for 40-80 characters)</w:t>
      </w:r>
    </w:p>
    <w:p>
      <w:pPr>
        <w:pStyle w:val="ListBullet"/>
      </w:pPr>
      <w:r>
        <w:t>Machine-Friendly: Use underscores as separators, avoid spaces and special characters</w:t>
      </w:r>
    </w:p>
    <w:p>
      <w:pPr>
        <w:pStyle w:val="ListBullet"/>
      </w:pPr>
      <w:r>
        <w:t>Hierarchical: Names should encode domain, pattern, and purpose</w:t>
      </w:r>
    </w:p>
    <w:p>
      <w:pPr>
        <w:pStyle w:val="Heading2"/>
      </w:pPr>
      <w:r>
        <w:t>1.2 General Formatting Rules</w:t>
      </w:r>
    </w:p>
    <w:p>
      <w:pPr>
        <w:pStyle w:val="ListBullet"/>
      </w:pPr>
      <w:r>
        <w:t>Use lowercase for all segments except environment prefixes (DEV, TEST, UAT, PROD)</w:t>
      </w:r>
    </w:p>
    <w:p>
      <w:pPr>
        <w:pStyle w:val="ListBullet"/>
      </w:pPr>
      <w:r>
        <w:t>Use underscores (_) as segment separators, not hyphens or spaces</w:t>
      </w:r>
    </w:p>
    <w:p>
      <w:pPr>
        <w:pStyle w:val="ListBullet"/>
      </w:pPr>
      <w:r>
        <w:t>Avoid abbreviations unless universally understood (e.g., cust, txn, acct)</w:t>
      </w:r>
    </w:p>
    <w:p>
      <w:pPr>
        <w:pStyle w:val="ListBullet"/>
      </w:pPr>
      <w:r>
        <w:t>Maximum name length: 128 characters (IICS platform limit)</w:t>
      </w:r>
    </w:p>
    <w:p>
      <w:pPr>
        <w:pStyle w:val="ListBullet"/>
      </w:pPr>
      <w:r>
        <w:t>No trailing underscores or double underscores</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Establish naming conventions before the first asset is created. Retrofitting naming standards to an existing environment is significantly more effort than enforcing them from the start.</w:t>
      </w:r>
    </w:p>
    <w:p/>
    <w:p>
      <w:r>
        <w:br w:type="page"/>
      </w:r>
    </w:p>
    <w:p>
      <w:pPr>
        <w:pStyle w:val="Heading1"/>
      </w:pPr>
      <w:r>
        <w:t>2. Connection Naming</w:t>
      </w:r>
    </w:p>
    <w:p>
      <w:r>
        <w:t>Connection names must encode the environment, source/target system, and connection type to enable quick identification and environment-specific filtering.</w:t>
      </w:r>
    </w:p>
    <w:p>
      <w:pPr>
        <w:pStyle w:val="Heading2"/>
      </w:pPr>
      <w:r>
        <w:t>2.1 Pattern</w:t>
      </w:r>
    </w:p>
    <w:p>
      <w:pPr>
        <w:pStyle w:val="NoSpacing"/>
        <w:shd w:fill="F5F5F5" w:val="clear"/>
        <w:ind w:left="432"/>
      </w:pPr>
      <w:r>
        <w:rPr>
          <w:rFonts w:ascii="Consolas" w:hAnsi="Consolas"/>
          <w:sz w:val="18"/>
        </w:rPr>
        <w:t>Format:  {ENV}_{SYSTEM}_{TYPE}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{ENV}    = DEV | TEST | UAT | PROD</w:t>
      </w:r>
    </w:p>
    <w:p>
      <w:pPr>
        <w:pStyle w:val="NoSpacing"/>
        <w:shd w:fill="F5F5F5" w:val="clear"/>
        <w:ind w:left="432"/>
      </w:pPr>
      <w:r>
        <w:rPr>
          <w:rFonts w:ascii="Consolas" w:hAnsi="Consolas"/>
          <w:sz w:val="18"/>
        </w:rPr>
        <w:t xml:space="preserve">  {SYSTEM} = Source or target system name (e.g., salesforce, snowflake, s3)</w:t>
      </w:r>
    </w:p>
    <w:p>
      <w:pPr>
        <w:pStyle w:val="NoSpacing"/>
        <w:shd w:fill="F5F5F5" w:val="clear"/>
        <w:ind w:left="432"/>
      </w:pPr>
      <w:r>
        <w:rPr>
          <w:rFonts w:ascii="Consolas" w:hAnsi="Consolas"/>
          <w:sz w:val="18"/>
        </w:rPr>
        <w:t xml:space="preserve">  {TYPE}   = Connection type (e.g., jdbc, odbc, rest, sftp, s3, kafka)</w:t>
      </w:r>
    </w:p>
    <w:p/>
    <w:p>
      <w:pPr>
        <w:pStyle w:val="Heading2"/>
      </w:pPr>
      <w:r>
        <w:t>2.2 Examples</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Connection Name</w:t>
            </w:r>
          </w:p>
        </w:tc>
        <w:tc>
          <w:tcPr>
            <w:tcW w:type="dxa" w:w="4703"/>
            <w:shd w:fill="0C548A" w:val="clear"/>
          </w:tcPr>
          <w:p>
            <w:r>
              <w:rPr>
                <w:b/>
                <w:color w:val="FFFFFF"/>
                <w:sz w:val="20"/>
              </w:rPr>
              <w:t>Description</w:t>
            </w:r>
          </w:p>
        </w:tc>
      </w:tr>
      <w:tr>
        <w:tc>
          <w:tcPr>
            <w:tcW w:type="dxa" w:w="4703"/>
          </w:tcPr>
          <w:p>
            <w:r>
              <w:rPr>
                <w:sz w:val="20"/>
              </w:rPr>
              <w:t>DEV_salesforce_rest</w:t>
            </w:r>
          </w:p>
        </w:tc>
        <w:tc>
          <w:tcPr>
            <w:tcW w:type="dxa" w:w="4703"/>
          </w:tcPr>
          <w:p>
            <w:r>
              <w:rPr>
                <w:sz w:val="20"/>
              </w:rPr>
              <w:t>Development Salesforce REST API connection</w:t>
            </w:r>
          </w:p>
        </w:tc>
      </w:tr>
      <w:tr>
        <w:tc>
          <w:tcPr>
            <w:tcW w:type="dxa" w:w="4703"/>
            <w:shd w:fill="F4F6FA" w:val="clear"/>
          </w:tcPr>
          <w:p>
            <w:r>
              <w:rPr>
                <w:sz w:val="20"/>
              </w:rPr>
              <w:t>PROD_snowflake_jdbc</w:t>
            </w:r>
          </w:p>
        </w:tc>
        <w:tc>
          <w:tcPr>
            <w:tcW w:type="dxa" w:w="4703"/>
            <w:shd w:fill="F4F6FA" w:val="clear"/>
          </w:tcPr>
          <w:p>
            <w:r>
              <w:rPr>
                <w:sz w:val="20"/>
              </w:rPr>
              <w:t>Production Snowflake JDBC connection</w:t>
            </w:r>
          </w:p>
        </w:tc>
      </w:tr>
      <w:tr>
        <w:tc>
          <w:tcPr>
            <w:tcW w:type="dxa" w:w="4703"/>
          </w:tcPr>
          <w:p>
            <w:r>
              <w:rPr>
                <w:sz w:val="20"/>
              </w:rPr>
              <w:t>UAT_s3_awsbucket</w:t>
            </w:r>
          </w:p>
        </w:tc>
        <w:tc>
          <w:tcPr>
            <w:tcW w:type="dxa" w:w="4703"/>
          </w:tcPr>
          <w:p>
            <w:r>
              <w:rPr>
                <w:sz w:val="20"/>
              </w:rPr>
              <w:t>UAT Amazon S3 bucket connection</w:t>
            </w:r>
          </w:p>
        </w:tc>
      </w:tr>
      <w:tr>
        <w:tc>
          <w:tcPr>
            <w:tcW w:type="dxa" w:w="4703"/>
            <w:shd w:fill="F4F6FA" w:val="clear"/>
          </w:tcPr>
          <w:p>
            <w:r>
              <w:rPr>
                <w:sz w:val="20"/>
              </w:rPr>
              <w:t>TEST_oracle_erp_jdbc</w:t>
            </w:r>
          </w:p>
        </w:tc>
        <w:tc>
          <w:tcPr>
            <w:tcW w:type="dxa" w:w="4703"/>
            <w:shd w:fill="F4F6FA" w:val="clear"/>
          </w:tcPr>
          <w:p>
            <w:r>
              <w:rPr>
                <w:sz w:val="20"/>
              </w:rPr>
              <w:t>Test Oracle ERP JDBC connection</w:t>
            </w:r>
          </w:p>
        </w:tc>
      </w:tr>
      <w:tr>
        <w:tc>
          <w:tcPr>
            <w:tcW w:type="dxa" w:w="4703"/>
          </w:tcPr>
          <w:p>
            <w:r>
              <w:rPr>
                <w:sz w:val="20"/>
              </w:rPr>
              <w:t>DEV_kafka_streaming</w:t>
            </w:r>
          </w:p>
        </w:tc>
        <w:tc>
          <w:tcPr>
            <w:tcW w:type="dxa" w:w="4703"/>
          </w:tcPr>
          <w:p>
            <w:r>
              <w:rPr>
                <w:sz w:val="20"/>
              </w:rPr>
              <w:t>Development Kafka streaming connection</w:t>
            </w:r>
          </w:p>
        </w:tc>
      </w:tr>
    </w:tbl>
    <w:p/>
    <w:p>
      <w:r>
        <w:br w:type="page"/>
      </w:r>
    </w:p>
    <w:p>
      <w:pPr>
        <w:pStyle w:val="Heading1"/>
      </w:pPr>
      <w:r>
        <w:t>3. Mapping Naming</w:t>
      </w:r>
    </w:p>
    <w:p>
      <w:r>
        <w:t>Mapping names convey the business domain, source system, target system, and integration pattern. This enables rapid identification of a mapping's purpose in the IICS Explore page.</w:t>
      </w:r>
    </w:p>
    <w:p>
      <w:pPr>
        <w:pStyle w:val="Heading2"/>
      </w:pPr>
      <w:r>
        <w:t>3.1 Pattern</w:t>
      </w:r>
    </w:p>
    <w:p>
      <w:pPr>
        <w:pStyle w:val="NoSpacing"/>
        <w:shd w:fill="F5F5F5" w:val="clear"/>
        <w:ind w:left="432"/>
      </w:pPr>
      <w:r>
        <w:rPr>
          <w:rFonts w:ascii="Consolas" w:hAnsi="Consolas"/>
          <w:sz w:val="18"/>
        </w:rPr>
        <w:t>Format:  m_{Domain}_{Source}_{Target}_{Pattern}</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m_         = Mapping prefix (always lowercase 'm')</w:t>
      </w:r>
    </w:p>
    <w:p>
      <w:pPr>
        <w:pStyle w:val="NoSpacing"/>
        <w:shd w:fill="F5F5F5" w:val="clear"/>
        <w:ind w:left="432"/>
      </w:pPr>
      <w:r>
        <w:rPr>
          <w:rFonts w:ascii="Consolas" w:hAnsi="Consolas"/>
          <w:sz w:val="18"/>
        </w:rPr>
        <w:t xml:space="preserve">  {Domain}   = Business domain (e.g., customer, finance, hr, product)</w:t>
      </w:r>
    </w:p>
    <w:p>
      <w:pPr>
        <w:pStyle w:val="NoSpacing"/>
        <w:shd w:fill="F5F5F5" w:val="clear"/>
        <w:ind w:left="432"/>
      </w:pPr>
      <w:r>
        <w:rPr>
          <w:rFonts w:ascii="Consolas" w:hAnsi="Consolas"/>
          <w:sz w:val="18"/>
        </w:rPr>
        <w:t xml:space="preserve">  {Source}   = Source system abbreviation</w:t>
      </w:r>
    </w:p>
    <w:p>
      <w:pPr>
        <w:pStyle w:val="NoSpacing"/>
        <w:shd w:fill="F5F5F5" w:val="clear"/>
        <w:ind w:left="432"/>
      </w:pPr>
      <w:r>
        <w:rPr>
          <w:rFonts w:ascii="Consolas" w:hAnsi="Consolas"/>
          <w:sz w:val="18"/>
        </w:rPr>
        <w:t xml:space="preserve">  {Target}   = Target system abbreviation</w:t>
      </w:r>
    </w:p>
    <w:p>
      <w:pPr>
        <w:pStyle w:val="NoSpacing"/>
        <w:shd w:fill="F5F5F5" w:val="clear"/>
        <w:ind w:left="432"/>
      </w:pPr>
      <w:r>
        <w:rPr>
          <w:rFonts w:ascii="Consolas" w:hAnsi="Consolas"/>
          <w:sz w:val="18"/>
        </w:rPr>
        <w:t xml:space="preserve">  {Pattern}  = Integration pattern (e.g., full, incr, cdc, lookup, scd2)</w:t>
      </w:r>
    </w:p>
    <w:p/>
    <w:p>
      <w:pPr>
        <w:pStyle w:val="Heading2"/>
      </w:pPr>
      <w:r>
        <w:t>3.2 Examples</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Mapping Name</w:t>
            </w:r>
          </w:p>
        </w:tc>
        <w:tc>
          <w:tcPr>
            <w:tcW w:type="dxa" w:w="4703"/>
            <w:shd w:fill="0C548A" w:val="clear"/>
          </w:tcPr>
          <w:p>
            <w:r>
              <w:rPr>
                <w:b/>
                <w:color w:val="FFFFFF"/>
                <w:sz w:val="20"/>
              </w:rPr>
              <w:t>Description</w:t>
            </w:r>
          </w:p>
        </w:tc>
      </w:tr>
      <w:tr>
        <w:tc>
          <w:tcPr>
            <w:tcW w:type="dxa" w:w="4703"/>
          </w:tcPr>
          <w:p>
            <w:r>
              <w:rPr>
                <w:sz w:val="20"/>
              </w:rPr>
              <w:t>m_customer_sfdc_snowflake_full</w:t>
            </w:r>
          </w:p>
        </w:tc>
        <w:tc>
          <w:tcPr>
            <w:tcW w:type="dxa" w:w="4703"/>
          </w:tcPr>
          <w:p>
            <w:r>
              <w:rPr>
                <w:sz w:val="20"/>
              </w:rPr>
              <w:t>Full load of customer data from Salesforce to Snowflake</w:t>
            </w:r>
          </w:p>
        </w:tc>
      </w:tr>
      <w:tr>
        <w:tc>
          <w:tcPr>
            <w:tcW w:type="dxa" w:w="4703"/>
            <w:shd w:fill="F4F6FA" w:val="clear"/>
          </w:tcPr>
          <w:p>
            <w:r>
              <w:rPr>
                <w:sz w:val="20"/>
              </w:rPr>
              <w:t>m_finance_oracle_s3_incr</w:t>
            </w:r>
          </w:p>
        </w:tc>
        <w:tc>
          <w:tcPr>
            <w:tcW w:type="dxa" w:w="4703"/>
            <w:shd w:fill="F4F6FA" w:val="clear"/>
          </w:tcPr>
          <w:p>
            <w:r>
              <w:rPr>
                <w:sz w:val="20"/>
              </w:rPr>
              <w:t>Incremental extract of finance data from Oracle to S3</w:t>
            </w:r>
          </w:p>
        </w:tc>
      </w:tr>
      <w:tr>
        <w:tc>
          <w:tcPr>
            <w:tcW w:type="dxa" w:w="4703"/>
          </w:tcPr>
          <w:p>
            <w:r>
              <w:rPr>
                <w:sz w:val="20"/>
              </w:rPr>
              <w:t>m_hr_workday_azure_cdc</w:t>
            </w:r>
          </w:p>
        </w:tc>
        <w:tc>
          <w:tcPr>
            <w:tcW w:type="dxa" w:w="4703"/>
          </w:tcPr>
          <w:p>
            <w:r>
              <w:rPr>
                <w:sz w:val="20"/>
              </w:rPr>
              <w:t>CDC-based HR data sync from Workday to Azure SQL</w:t>
            </w:r>
          </w:p>
        </w:tc>
      </w:tr>
      <w:tr>
        <w:tc>
          <w:tcPr>
            <w:tcW w:type="dxa" w:w="4703"/>
            <w:shd w:fill="F4F6FA" w:val="clear"/>
          </w:tcPr>
          <w:p>
            <w:r>
              <w:rPr>
                <w:sz w:val="20"/>
              </w:rPr>
              <w:t>m_product_s3_snowflake_scd2</w:t>
            </w:r>
          </w:p>
        </w:tc>
        <w:tc>
          <w:tcPr>
            <w:tcW w:type="dxa" w:w="4703"/>
            <w:shd w:fill="F4F6FA" w:val="clear"/>
          </w:tcPr>
          <w:p>
            <w:r>
              <w:rPr>
                <w:sz w:val="20"/>
              </w:rPr>
              <w:t>SCD Type 2 load of product data from S3 to Snowflake</w:t>
            </w:r>
          </w:p>
        </w:tc>
      </w:tr>
      <w:tr>
        <w:tc>
          <w:tcPr>
            <w:tcW w:type="dxa" w:w="4703"/>
          </w:tcPr>
          <w:p>
            <w:r>
              <w:rPr>
                <w:sz w:val="20"/>
              </w:rPr>
              <w:t>m_customer_snowflake_snowflake_lookup</w:t>
            </w:r>
          </w:p>
        </w:tc>
        <w:tc>
          <w:tcPr>
            <w:tcW w:type="dxa" w:w="4703"/>
          </w:tcPr>
          <w:p>
            <w:r>
              <w:rPr>
                <w:sz w:val="20"/>
              </w:rPr>
              <w:t>Customer lookup/enrichment within Snowflake</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For mappings with multiple sources or targets, name based on the primary source and primary target. Document secondary sources in the mapping description.</w:t>
      </w:r>
    </w:p>
    <w:p/>
    <w:p>
      <w:r>
        <w:br w:type="page"/>
      </w:r>
    </w:p>
    <w:p>
      <w:pPr>
        <w:pStyle w:val="Heading1"/>
      </w:pPr>
      <w:r>
        <w:t>4. Taskflow Naming</w:t>
      </w:r>
    </w:p>
    <w:p>
      <w:r>
        <w:t>Taskflow names indicate the domain, execution frequency, and a brief description of the orchestration purpose.</w:t>
      </w:r>
    </w:p>
    <w:p>
      <w:pPr>
        <w:pStyle w:val="Heading2"/>
      </w:pPr>
      <w:r>
        <w:t>4.1 Pattern</w:t>
      </w:r>
    </w:p>
    <w:p>
      <w:pPr>
        <w:pStyle w:val="NoSpacing"/>
        <w:shd w:fill="F5F5F5" w:val="clear"/>
        <w:ind w:left="432"/>
      </w:pPr>
      <w:r>
        <w:rPr>
          <w:rFonts w:ascii="Consolas" w:hAnsi="Consolas"/>
          <w:sz w:val="18"/>
        </w:rPr>
        <w:t>Format:  tf_{Domain}_{Frequency}_{Description}</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tf_          = Taskflow prefix</w:t>
      </w:r>
    </w:p>
    <w:p>
      <w:pPr>
        <w:pStyle w:val="NoSpacing"/>
        <w:shd w:fill="F5F5F5" w:val="clear"/>
        <w:ind w:left="432"/>
      </w:pPr>
      <w:r>
        <w:rPr>
          <w:rFonts w:ascii="Consolas" w:hAnsi="Consolas"/>
          <w:sz w:val="18"/>
        </w:rPr>
        <w:t xml:space="preserve">  {Domain}     = Business domain</w:t>
      </w:r>
    </w:p>
    <w:p>
      <w:pPr>
        <w:pStyle w:val="NoSpacing"/>
        <w:shd w:fill="F5F5F5" w:val="clear"/>
        <w:ind w:left="432"/>
      </w:pPr>
      <w:r>
        <w:rPr>
          <w:rFonts w:ascii="Consolas" w:hAnsi="Consolas"/>
          <w:sz w:val="18"/>
        </w:rPr>
        <w:t xml:space="preserve">  {Frequency}  = Execution cadence (e.g., daily, hourly, weekly, ondemand, event)</w:t>
      </w:r>
    </w:p>
    <w:p>
      <w:pPr>
        <w:pStyle w:val="NoSpacing"/>
        <w:shd w:fill="F5F5F5" w:val="clear"/>
        <w:ind w:left="432"/>
      </w:pPr>
      <w:r>
        <w:rPr>
          <w:rFonts w:ascii="Consolas" w:hAnsi="Consolas"/>
          <w:sz w:val="18"/>
        </w:rPr>
        <w:t xml:space="preserve">  {Description}= Brief description of the orchestration</w:t>
      </w:r>
    </w:p>
    <w:p/>
    <w:p>
      <w:pPr>
        <w:pStyle w:val="Heading2"/>
      </w:pPr>
      <w:r>
        <w:t>4.2 Examples</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Taskflow Name</w:t>
            </w:r>
          </w:p>
        </w:tc>
        <w:tc>
          <w:tcPr>
            <w:tcW w:type="dxa" w:w="4703"/>
            <w:shd w:fill="0C548A" w:val="clear"/>
          </w:tcPr>
          <w:p>
            <w:r>
              <w:rPr>
                <w:b/>
                <w:color w:val="FFFFFF"/>
                <w:sz w:val="20"/>
              </w:rPr>
              <w:t>Description</w:t>
            </w:r>
          </w:p>
        </w:tc>
      </w:tr>
      <w:tr>
        <w:tc>
          <w:tcPr>
            <w:tcW w:type="dxa" w:w="4703"/>
          </w:tcPr>
          <w:p>
            <w:r>
              <w:rPr>
                <w:sz w:val="20"/>
              </w:rPr>
              <w:t>tf_customer_daily_full_load</w:t>
            </w:r>
          </w:p>
        </w:tc>
        <w:tc>
          <w:tcPr>
            <w:tcW w:type="dxa" w:w="4703"/>
          </w:tcPr>
          <w:p>
            <w:r>
              <w:rPr>
                <w:sz w:val="20"/>
              </w:rPr>
              <w:t>Daily full load orchestration for customer domain</w:t>
            </w:r>
          </w:p>
        </w:tc>
      </w:tr>
      <w:tr>
        <w:tc>
          <w:tcPr>
            <w:tcW w:type="dxa" w:w="4703"/>
            <w:shd w:fill="F4F6FA" w:val="clear"/>
          </w:tcPr>
          <w:p>
            <w:r>
              <w:rPr>
                <w:sz w:val="20"/>
              </w:rPr>
              <w:t>tf_finance_hourly_incr_extract</w:t>
            </w:r>
          </w:p>
        </w:tc>
        <w:tc>
          <w:tcPr>
            <w:tcW w:type="dxa" w:w="4703"/>
            <w:shd w:fill="F4F6FA" w:val="clear"/>
          </w:tcPr>
          <w:p>
            <w:r>
              <w:rPr>
                <w:sz w:val="20"/>
              </w:rPr>
              <w:t>Hourly incremental extract for finance domain</w:t>
            </w:r>
          </w:p>
        </w:tc>
      </w:tr>
      <w:tr>
        <w:tc>
          <w:tcPr>
            <w:tcW w:type="dxa" w:w="4703"/>
          </w:tcPr>
          <w:p>
            <w:r>
              <w:rPr>
                <w:sz w:val="20"/>
              </w:rPr>
              <w:t>tf_hr_weekly_payroll_sync</w:t>
            </w:r>
          </w:p>
        </w:tc>
        <w:tc>
          <w:tcPr>
            <w:tcW w:type="dxa" w:w="4703"/>
          </w:tcPr>
          <w:p>
            <w:r>
              <w:rPr>
                <w:sz w:val="20"/>
              </w:rPr>
              <w:t>Weekly payroll synchronization taskflow</w:t>
            </w:r>
          </w:p>
        </w:tc>
      </w:tr>
      <w:tr>
        <w:tc>
          <w:tcPr>
            <w:tcW w:type="dxa" w:w="4703"/>
            <w:shd w:fill="F4F6FA" w:val="clear"/>
          </w:tcPr>
          <w:p>
            <w:r>
              <w:rPr>
                <w:sz w:val="20"/>
              </w:rPr>
              <w:t>tf_product_ondemand_catalog_refresh</w:t>
            </w:r>
          </w:p>
        </w:tc>
        <w:tc>
          <w:tcPr>
            <w:tcW w:type="dxa" w:w="4703"/>
            <w:shd w:fill="F4F6FA" w:val="clear"/>
          </w:tcPr>
          <w:p>
            <w:r>
              <w:rPr>
                <w:sz w:val="20"/>
              </w:rPr>
              <w:t>On-demand product catalog refresh</w:t>
            </w:r>
          </w:p>
        </w:tc>
      </w:tr>
      <w:tr>
        <w:tc>
          <w:tcPr>
            <w:tcW w:type="dxa" w:w="4703"/>
          </w:tcPr>
          <w:p>
            <w:r>
              <w:rPr>
                <w:sz w:val="20"/>
              </w:rPr>
              <w:t>tf_customer_event_cdc_pipeline</w:t>
            </w:r>
          </w:p>
        </w:tc>
        <w:tc>
          <w:tcPr>
            <w:tcW w:type="dxa" w:w="4703"/>
          </w:tcPr>
          <w:p>
            <w:r>
              <w:rPr>
                <w:sz w:val="20"/>
              </w:rPr>
              <w:t>Event-driven CDC pipeline for customer data</w:t>
            </w:r>
          </w:p>
        </w:tc>
      </w:tr>
    </w:tbl>
    <w:p/>
    <w:p>
      <w:r>
        <w:br w:type="page"/>
      </w:r>
    </w:p>
    <w:p>
      <w:pPr>
        <w:pStyle w:val="Heading1"/>
      </w:pPr>
      <w:r>
        <w:t>5. Parameter Naming</w:t>
      </w:r>
    </w:p>
    <w:p>
      <w:r>
        <w:t>Parameters use a prefix to indicate scope and a descriptive name that conveys the parameter's purpose.</w:t>
      </w:r>
    </w:p>
    <w:p>
      <w:pPr>
        <w:pStyle w:val="Heading2"/>
      </w:pPr>
      <w:r>
        <w:t>5.1 Pattern</w:t>
      </w:r>
    </w:p>
    <w:p>
      <w:pPr>
        <w:pStyle w:val="NoSpacing"/>
        <w:shd w:fill="F5F5F5" w:val="clear"/>
        <w:ind w:left="432"/>
      </w:pPr>
      <w:r>
        <w:rPr>
          <w:rFonts w:ascii="Consolas" w:hAnsi="Consolas"/>
          <w:sz w:val="18"/>
        </w:rPr>
        <w:t>Format:  $$_{Scope}_{Name}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$$_        = Parameter prefix (IICS convention)</w:t>
      </w:r>
    </w:p>
    <w:p>
      <w:pPr>
        <w:pStyle w:val="NoSpacing"/>
        <w:shd w:fill="F5F5F5" w:val="clear"/>
        <w:ind w:left="432"/>
      </w:pPr>
      <w:r>
        <w:rPr>
          <w:rFonts w:ascii="Consolas" w:hAnsi="Consolas"/>
          <w:sz w:val="18"/>
        </w:rPr>
        <w:t xml:space="preserve">  {Scope}    = global | project | mapping | connection</w:t>
      </w:r>
    </w:p>
    <w:p>
      <w:pPr>
        <w:pStyle w:val="NoSpacing"/>
        <w:shd w:fill="F5F5F5" w:val="clear"/>
        <w:ind w:left="432"/>
      </w:pPr>
      <w:r>
        <w:rPr>
          <w:rFonts w:ascii="Consolas" w:hAnsi="Consolas"/>
          <w:sz w:val="18"/>
        </w:rPr>
        <w:t xml:space="preserve">  {Name}     = Descriptive parameter name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Input parameters:   in_{ParameterName}</w:t>
      </w:r>
    </w:p>
    <w:p>
      <w:pPr>
        <w:pStyle w:val="NoSpacing"/>
        <w:shd w:fill="F5F5F5" w:val="clear"/>
        <w:ind w:left="432"/>
      </w:pPr>
      <w:r>
        <w:rPr>
          <w:rFonts w:ascii="Consolas" w:hAnsi="Consolas"/>
          <w:sz w:val="18"/>
        </w:rPr>
        <w:t>Output parameters:  out_{ParameterName}</w:t>
      </w:r>
    </w:p>
    <w:p>
      <w:pPr>
        <w:pStyle w:val="NoSpacing"/>
        <w:shd w:fill="F5F5F5" w:val="clear"/>
        <w:ind w:left="432"/>
      </w:pPr>
      <w:r>
        <w:rPr>
          <w:rFonts w:ascii="Consolas" w:hAnsi="Consolas"/>
          <w:sz w:val="18"/>
        </w:rPr>
        <w:t>In/Out parameters:  io_{ParameterName}</w:t>
      </w:r>
    </w:p>
    <w:p/>
    <w:p>
      <w:pPr>
        <w:pStyle w:val="Heading2"/>
      </w:pPr>
      <w:r>
        <w:t>5.2 Examples</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Parameter Name</w:t>
            </w:r>
          </w:p>
        </w:tc>
        <w:tc>
          <w:tcPr>
            <w:tcW w:type="dxa" w:w="4703"/>
            <w:shd w:fill="0C548A" w:val="clear"/>
          </w:tcPr>
          <w:p>
            <w:r>
              <w:rPr>
                <w:b/>
                <w:color w:val="FFFFFF"/>
                <w:sz w:val="20"/>
              </w:rPr>
              <w:t>Description</w:t>
            </w:r>
          </w:p>
        </w:tc>
      </w:tr>
      <w:tr>
        <w:tc>
          <w:tcPr>
            <w:tcW w:type="dxa" w:w="4703"/>
          </w:tcPr>
          <w:p>
            <w:r>
              <w:rPr>
                <w:sz w:val="20"/>
              </w:rPr>
              <w:t>$$_global_batch_date</w:t>
            </w:r>
          </w:p>
        </w:tc>
        <w:tc>
          <w:tcPr>
            <w:tcW w:type="dxa" w:w="4703"/>
          </w:tcPr>
          <w:p>
            <w:r>
              <w:rPr>
                <w:sz w:val="20"/>
              </w:rPr>
              <w:t>Global batch processing date</w:t>
            </w:r>
          </w:p>
        </w:tc>
      </w:tr>
      <w:tr>
        <w:tc>
          <w:tcPr>
            <w:tcW w:type="dxa" w:w="4703"/>
            <w:shd w:fill="F4F6FA" w:val="clear"/>
          </w:tcPr>
          <w:p>
            <w:r>
              <w:rPr>
                <w:sz w:val="20"/>
              </w:rPr>
              <w:t>$$_project_source_schema</w:t>
            </w:r>
          </w:p>
        </w:tc>
        <w:tc>
          <w:tcPr>
            <w:tcW w:type="dxa" w:w="4703"/>
            <w:shd w:fill="F4F6FA" w:val="clear"/>
          </w:tcPr>
          <w:p>
            <w:r>
              <w:rPr>
                <w:sz w:val="20"/>
              </w:rPr>
              <w:t>Project-level source schema name</w:t>
            </w:r>
          </w:p>
        </w:tc>
      </w:tr>
      <w:tr>
        <w:tc>
          <w:tcPr>
            <w:tcW w:type="dxa" w:w="4703"/>
          </w:tcPr>
          <w:p>
            <w:r>
              <w:rPr>
                <w:sz w:val="20"/>
              </w:rPr>
              <w:t>$$_mapping_filter_condition</w:t>
            </w:r>
          </w:p>
        </w:tc>
        <w:tc>
          <w:tcPr>
            <w:tcW w:type="dxa" w:w="4703"/>
          </w:tcPr>
          <w:p>
            <w:r>
              <w:rPr>
                <w:sz w:val="20"/>
              </w:rPr>
              <w:t>Mapping-specific filter expression</w:t>
            </w:r>
          </w:p>
        </w:tc>
      </w:tr>
      <w:tr>
        <w:tc>
          <w:tcPr>
            <w:tcW w:type="dxa" w:w="4703"/>
            <w:shd w:fill="F4F6FA" w:val="clear"/>
          </w:tcPr>
          <w:p>
            <w:r>
              <w:rPr>
                <w:sz w:val="20"/>
              </w:rPr>
              <w:t>in_start_date</w:t>
            </w:r>
          </w:p>
        </w:tc>
        <w:tc>
          <w:tcPr>
            <w:tcW w:type="dxa" w:w="4703"/>
            <w:shd w:fill="F4F6FA" w:val="clear"/>
          </w:tcPr>
          <w:p>
            <w:r>
              <w:rPr>
                <w:sz w:val="20"/>
              </w:rPr>
              <w:t>Input parameter for start date range</w:t>
            </w:r>
          </w:p>
        </w:tc>
      </w:tr>
      <w:tr>
        <w:tc>
          <w:tcPr>
            <w:tcW w:type="dxa" w:w="4703"/>
          </w:tcPr>
          <w:p>
            <w:r>
              <w:rPr>
                <w:sz w:val="20"/>
              </w:rPr>
              <w:t>out_row_count</w:t>
            </w:r>
          </w:p>
        </w:tc>
        <w:tc>
          <w:tcPr>
            <w:tcW w:type="dxa" w:w="4703"/>
          </w:tcPr>
          <w:p>
            <w:r>
              <w:rPr>
                <w:sz w:val="20"/>
              </w:rPr>
              <w:t>Output parameter for processed row count</w:t>
            </w:r>
          </w:p>
        </w:tc>
      </w:tr>
    </w:tbl>
    <w:p/>
    <w:p>
      <w:r>
        <w:br w:type="page"/>
      </w:r>
    </w:p>
    <w:p>
      <w:pPr>
        <w:pStyle w:val="Heading1"/>
      </w:pPr>
      <w:r>
        <w:t>6. Folder &amp; Project Structure</w:t>
      </w:r>
    </w:p>
    <w:p>
      <w:r>
        <w:t>A well-organized folder and project structure is essential for managing assets at scale. The structure should mirror the business domain model.</w:t>
      </w:r>
    </w:p>
    <w:p>
      <w:pPr>
        <w:pStyle w:val="Heading2"/>
      </w:pPr>
      <w:r>
        <w:t>6.1 Recommended Structure</w:t>
      </w:r>
    </w:p>
    <w:p>
      <w:pPr>
        <w:pStyle w:val="NoSpacing"/>
        <w:shd w:fill="F5F5F5" w:val="clear"/>
        <w:ind w:left="432"/>
      </w:pPr>
      <w:r>
        <w:rPr>
          <w:rFonts w:ascii="Consolas" w:hAnsi="Consolas"/>
          <w:sz w:val="18"/>
        </w:rPr>
        <w:t>IICS Organization/</w:t>
      </w:r>
    </w:p>
    <w:p>
      <w:pPr>
        <w:pStyle w:val="NoSpacing"/>
        <w:shd w:fill="F5F5F5" w:val="clear"/>
        <w:ind w:left="432"/>
      </w:pPr>
      <w:r>
        <w:rPr>
          <w:rFonts w:ascii="Consolas" w:hAnsi="Consolas"/>
          <w:sz w:val="18"/>
        </w:rPr>
        <w:t xml:space="preserve">  |-- Project_Customer/</w:t>
      </w:r>
    </w:p>
    <w:p>
      <w:pPr>
        <w:pStyle w:val="NoSpacing"/>
        <w:shd w:fill="F5F5F5" w:val="clear"/>
        <w:ind w:left="432"/>
      </w:pPr>
      <w:r>
        <w:rPr>
          <w:rFonts w:ascii="Consolas" w:hAnsi="Consolas"/>
          <w:sz w:val="18"/>
        </w:rPr>
        <w:t xml:space="preserve">  |     |-- Connections/</w:t>
      </w:r>
    </w:p>
    <w:p>
      <w:pPr>
        <w:pStyle w:val="NoSpacing"/>
        <w:shd w:fill="F5F5F5" w:val="clear"/>
        <w:ind w:left="432"/>
      </w:pPr>
      <w:r>
        <w:rPr>
          <w:rFonts w:ascii="Consolas" w:hAnsi="Consolas"/>
          <w:sz w:val="18"/>
        </w:rPr>
        <w:t xml:space="preserve">  |     |-- Mappings/</w:t>
      </w:r>
    </w:p>
    <w:p>
      <w:pPr>
        <w:pStyle w:val="NoSpacing"/>
        <w:shd w:fill="F5F5F5" w:val="clear"/>
        <w:ind w:left="432"/>
      </w:pPr>
      <w:r>
        <w:rPr>
          <w:rFonts w:ascii="Consolas" w:hAnsi="Consolas"/>
          <w:sz w:val="18"/>
        </w:rPr>
        <w:t xml:space="preserve">  |     |     |-- Full_Load/</w:t>
      </w:r>
    </w:p>
    <w:p>
      <w:pPr>
        <w:pStyle w:val="NoSpacing"/>
        <w:shd w:fill="F5F5F5" w:val="clear"/>
        <w:ind w:left="432"/>
      </w:pPr>
      <w:r>
        <w:rPr>
          <w:rFonts w:ascii="Consolas" w:hAnsi="Consolas"/>
          <w:sz w:val="18"/>
        </w:rPr>
        <w:t xml:space="preserve">  |     |     |-- Incremental/</w:t>
      </w:r>
    </w:p>
    <w:p>
      <w:pPr>
        <w:pStyle w:val="NoSpacing"/>
        <w:shd w:fill="F5F5F5" w:val="clear"/>
        <w:ind w:left="432"/>
      </w:pPr>
      <w:r>
        <w:rPr>
          <w:rFonts w:ascii="Consolas" w:hAnsi="Consolas"/>
          <w:sz w:val="18"/>
        </w:rPr>
        <w:t xml:space="preserve">  |     |     |-- CDC/</w:t>
      </w:r>
    </w:p>
    <w:p>
      <w:pPr>
        <w:pStyle w:val="NoSpacing"/>
        <w:shd w:fill="F5F5F5" w:val="clear"/>
        <w:ind w:left="432"/>
      </w:pPr>
      <w:r>
        <w:rPr>
          <w:rFonts w:ascii="Consolas" w:hAnsi="Consolas"/>
          <w:sz w:val="18"/>
        </w:rPr>
        <w:t xml:space="preserve">  |     |-- Taskflows/</w:t>
      </w:r>
    </w:p>
    <w:p>
      <w:pPr>
        <w:pStyle w:val="NoSpacing"/>
        <w:shd w:fill="F5F5F5" w:val="clear"/>
        <w:ind w:left="432"/>
      </w:pPr>
      <w:r>
        <w:rPr>
          <w:rFonts w:ascii="Consolas" w:hAnsi="Consolas"/>
          <w:sz w:val="18"/>
        </w:rPr>
        <w:t xml:space="preserve">  |     |-- Parameters/</w:t>
      </w:r>
    </w:p>
    <w:p>
      <w:pPr>
        <w:pStyle w:val="NoSpacing"/>
        <w:shd w:fill="F5F5F5" w:val="clear"/>
        <w:ind w:left="432"/>
      </w:pPr>
      <w:r>
        <w:rPr>
          <w:rFonts w:ascii="Consolas" w:hAnsi="Consolas"/>
          <w:sz w:val="18"/>
        </w:rPr>
        <w:t xml:space="preserve">  |     |-- Shared/</w:t>
      </w:r>
    </w:p>
    <w:p>
      <w:pPr>
        <w:pStyle w:val="NoSpacing"/>
        <w:shd w:fill="F5F5F5" w:val="clear"/>
        <w:ind w:left="432"/>
      </w:pPr>
      <w:r>
        <w:rPr>
          <w:rFonts w:ascii="Consolas" w:hAnsi="Consolas"/>
          <w:sz w:val="18"/>
        </w:rPr>
        <w:t xml:space="preserve">  |-- Project_Finance/</w:t>
      </w:r>
    </w:p>
    <w:p>
      <w:pPr>
        <w:pStyle w:val="NoSpacing"/>
        <w:shd w:fill="F5F5F5" w:val="clear"/>
        <w:ind w:left="432"/>
      </w:pPr>
      <w:r>
        <w:rPr>
          <w:rFonts w:ascii="Consolas" w:hAnsi="Consolas"/>
          <w:sz w:val="18"/>
        </w:rPr>
        <w:t xml:space="preserve">  |     |-- (same sub-structure)</w:t>
      </w:r>
    </w:p>
    <w:p>
      <w:pPr>
        <w:pStyle w:val="NoSpacing"/>
        <w:shd w:fill="F5F5F5" w:val="clear"/>
        <w:ind w:left="432"/>
      </w:pPr>
      <w:r>
        <w:rPr>
          <w:rFonts w:ascii="Consolas" w:hAnsi="Consolas"/>
          <w:sz w:val="18"/>
        </w:rPr>
        <w:t xml:space="preserve">  |-- Project_HR/</w:t>
      </w:r>
    </w:p>
    <w:p>
      <w:pPr>
        <w:pStyle w:val="NoSpacing"/>
        <w:shd w:fill="F5F5F5" w:val="clear"/>
        <w:ind w:left="432"/>
      </w:pPr>
      <w:r>
        <w:rPr>
          <w:rFonts w:ascii="Consolas" w:hAnsi="Consolas"/>
          <w:sz w:val="18"/>
        </w:rPr>
        <w:t xml:space="preserve">  |     |-- (same sub-structure)</w:t>
      </w:r>
    </w:p>
    <w:p>
      <w:pPr>
        <w:pStyle w:val="NoSpacing"/>
        <w:shd w:fill="F5F5F5" w:val="clear"/>
        <w:ind w:left="432"/>
      </w:pPr>
      <w:r>
        <w:rPr>
          <w:rFonts w:ascii="Consolas" w:hAnsi="Consolas"/>
          <w:sz w:val="18"/>
        </w:rPr>
        <w:t xml:space="preserve">  |-- Project_Shared/</w:t>
      </w:r>
    </w:p>
    <w:p>
      <w:pPr>
        <w:pStyle w:val="NoSpacing"/>
        <w:shd w:fill="F5F5F5" w:val="clear"/>
        <w:ind w:left="432"/>
      </w:pPr>
      <w:r>
        <w:rPr>
          <w:rFonts w:ascii="Consolas" w:hAnsi="Consolas"/>
          <w:sz w:val="18"/>
        </w:rPr>
        <w:t xml:space="preserve">  |     |-- Common_Lookups/</w:t>
      </w:r>
    </w:p>
    <w:p>
      <w:pPr>
        <w:pStyle w:val="NoSpacing"/>
        <w:shd w:fill="F5F5F5" w:val="clear"/>
        <w:ind w:left="432"/>
      </w:pPr>
      <w:r>
        <w:rPr>
          <w:rFonts w:ascii="Consolas" w:hAnsi="Consolas"/>
          <w:sz w:val="18"/>
        </w:rPr>
        <w:t xml:space="preserve">  |     |-- Utility_Mappings/</w:t>
      </w:r>
    </w:p>
    <w:p>
      <w:pPr>
        <w:pStyle w:val="NoSpacing"/>
        <w:shd w:fill="F5F5F5" w:val="clear"/>
        <w:ind w:left="432"/>
      </w:pPr>
      <w:r>
        <w:rPr>
          <w:rFonts w:ascii="Consolas" w:hAnsi="Consolas"/>
          <w:sz w:val="18"/>
        </w:rPr>
        <w:t xml:space="preserve">  |     |-- Shared_Parameters/</w:t>
      </w:r>
    </w:p>
    <w:p/>
    <w:p>
      <w:pPr>
        <w:pStyle w:val="Heading2"/>
      </w:pPr>
      <w:r>
        <w:t>6.2 Folder Naming Rules</w:t>
      </w:r>
    </w:p>
    <w:p>
      <w:pPr>
        <w:pStyle w:val="ListBullet"/>
      </w:pPr>
      <w:r>
        <w:t>Project names: Project_{Domain} (e.g., Project_Customer, Project_Finance)</w:t>
      </w:r>
    </w:p>
    <w:p>
      <w:pPr>
        <w:pStyle w:val="ListBullet"/>
      </w:pPr>
      <w:r>
        <w:t>Sub-folder names: Use PascalCase (e.g., Full_Load, Incremental)</w:t>
      </w:r>
    </w:p>
    <w:p>
      <w:pPr>
        <w:pStyle w:val="ListBullet"/>
      </w:pPr>
      <w:r>
        <w:t>Shared assets placed in Project_Shared for cross-domain reuse</w:t>
      </w:r>
    </w:p>
    <w:p>
      <w:pPr>
        <w:pStyle w:val="ListBullet"/>
      </w:pPr>
      <w:r>
        <w:t>Avoid nesting deeper than 3 levels (Project / Category / Sub-Category)</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Do not create environment-specific folders within a project. Environment separation is managed through sub-organizations, not folder structure.</w:t>
      </w:r>
    </w:p>
    <w:p/>
    <w:p>
      <w:r>
        <w:br w:type="page"/>
      </w:r>
    </w:p>
    <w:p>
      <w:pPr>
        <w:pStyle w:val="Heading1"/>
      </w:pPr>
      <w:r>
        <w:t>7. Asset Tagging Standards</w:t>
      </w:r>
    </w:p>
    <w:p>
      <w:r>
        <w:t>IICS supports tagging assets with metadata labels. Tags supplement naming conventions by providing additional searchable attributes.</w:t>
      </w:r>
    </w:p>
    <w:p>
      <w:pPr>
        <w:pStyle w:val="Heading2"/>
      </w:pPr>
      <w:r>
        <w:t>7.1 Required Tags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Tag Key</w:t>
            </w:r>
          </w:p>
        </w:tc>
        <w:tc>
          <w:tcPr>
            <w:tcW w:type="dxa" w:w="2351"/>
            <w:shd w:fill="0C548A" w:val="clear"/>
          </w:tcPr>
          <w:p>
            <w:r>
              <w:rPr>
                <w:b/>
                <w:color w:val="FFFFFF"/>
                <w:sz w:val="20"/>
              </w:rPr>
              <w:t>Format</w:t>
            </w:r>
          </w:p>
        </w:tc>
        <w:tc>
          <w:tcPr>
            <w:tcW w:type="dxa" w:w="2351"/>
            <w:shd w:fill="0C548A" w:val="clear"/>
          </w:tcPr>
          <w:p>
            <w:r>
              <w:rPr>
                <w:b/>
                <w:color w:val="FFFFFF"/>
                <w:sz w:val="20"/>
              </w:rPr>
              <w:t>Example</w:t>
            </w:r>
          </w:p>
        </w:tc>
        <w:tc>
          <w:tcPr>
            <w:tcW w:type="dxa" w:w="2351"/>
            <w:shd w:fill="0C548A" w:val="clear"/>
          </w:tcPr>
          <w:p>
            <w:r>
              <w:rPr>
                <w:b/>
                <w:color w:val="FFFFFF"/>
                <w:sz w:val="20"/>
              </w:rPr>
              <w:t>Purpose</w:t>
            </w:r>
          </w:p>
        </w:tc>
      </w:tr>
      <w:tr>
        <w:tc>
          <w:tcPr>
            <w:tcW w:type="dxa" w:w="2351"/>
          </w:tcPr>
          <w:p>
            <w:r>
              <w:rPr>
                <w:sz w:val="20"/>
              </w:rPr>
              <w:t>domain</w:t>
            </w:r>
          </w:p>
        </w:tc>
        <w:tc>
          <w:tcPr>
            <w:tcW w:type="dxa" w:w="2351"/>
          </w:tcPr>
          <w:p>
            <w:r>
              <w:rPr>
                <w:sz w:val="20"/>
              </w:rPr>
              <w:t>lowercase</w:t>
            </w:r>
          </w:p>
        </w:tc>
        <w:tc>
          <w:tcPr>
            <w:tcW w:type="dxa" w:w="2351"/>
          </w:tcPr>
          <w:p>
            <w:r>
              <w:rPr>
                <w:sz w:val="20"/>
              </w:rPr>
              <w:t>customer</w:t>
            </w:r>
          </w:p>
        </w:tc>
        <w:tc>
          <w:tcPr>
            <w:tcW w:type="dxa" w:w="2351"/>
          </w:tcPr>
          <w:p>
            <w:r>
              <w:rPr>
                <w:sz w:val="20"/>
              </w:rPr>
              <w:t>Business domain classification</w:t>
            </w:r>
          </w:p>
        </w:tc>
      </w:tr>
      <w:tr>
        <w:tc>
          <w:tcPr>
            <w:tcW w:type="dxa" w:w="2351"/>
            <w:shd w:fill="F4F6FA" w:val="clear"/>
          </w:tcPr>
          <w:p>
            <w:r>
              <w:rPr>
                <w:sz w:val="20"/>
              </w:rPr>
              <w:t>pattern</w:t>
            </w:r>
          </w:p>
        </w:tc>
        <w:tc>
          <w:tcPr>
            <w:tcW w:type="dxa" w:w="2351"/>
            <w:shd w:fill="F4F6FA" w:val="clear"/>
          </w:tcPr>
          <w:p>
            <w:r>
              <w:rPr>
                <w:sz w:val="20"/>
              </w:rPr>
              <w:t>lowercase</w:t>
            </w:r>
          </w:p>
        </w:tc>
        <w:tc>
          <w:tcPr>
            <w:tcW w:type="dxa" w:w="2351"/>
            <w:shd w:fill="F4F6FA" w:val="clear"/>
          </w:tcPr>
          <w:p>
            <w:r>
              <w:rPr>
                <w:sz w:val="20"/>
              </w:rPr>
              <w:t>full_load, incr, cdc, scd2</w:t>
            </w:r>
          </w:p>
        </w:tc>
        <w:tc>
          <w:tcPr>
            <w:tcW w:type="dxa" w:w="2351"/>
            <w:shd w:fill="F4F6FA" w:val="clear"/>
          </w:tcPr>
          <w:p>
            <w:r>
              <w:rPr>
                <w:sz w:val="20"/>
              </w:rPr>
              <w:t>Integration pattern type</w:t>
            </w:r>
          </w:p>
        </w:tc>
      </w:tr>
      <w:tr>
        <w:tc>
          <w:tcPr>
            <w:tcW w:type="dxa" w:w="2351"/>
          </w:tcPr>
          <w:p>
            <w:r>
              <w:rPr>
                <w:sz w:val="20"/>
              </w:rPr>
              <w:t>source</w:t>
            </w:r>
          </w:p>
        </w:tc>
        <w:tc>
          <w:tcPr>
            <w:tcW w:type="dxa" w:w="2351"/>
          </w:tcPr>
          <w:p>
            <w:r>
              <w:rPr>
                <w:sz w:val="20"/>
              </w:rPr>
              <w:t>lowercase</w:t>
            </w:r>
          </w:p>
        </w:tc>
        <w:tc>
          <w:tcPr>
            <w:tcW w:type="dxa" w:w="2351"/>
          </w:tcPr>
          <w:p>
            <w:r>
              <w:rPr>
                <w:sz w:val="20"/>
              </w:rPr>
              <w:t>salesforce, oracle, s3</w:t>
            </w:r>
          </w:p>
        </w:tc>
        <w:tc>
          <w:tcPr>
            <w:tcW w:type="dxa" w:w="2351"/>
          </w:tcPr>
          <w:p>
            <w:r>
              <w:rPr>
                <w:sz w:val="20"/>
              </w:rPr>
              <w:t>Primary source system</w:t>
            </w:r>
          </w:p>
        </w:tc>
      </w:tr>
      <w:tr>
        <w:tc>
          <w:tcPr>
            <w:tcW w:type="dxa" w:w="2351"/>
            <w:shd w:fill="F4F6FA" w:val="clear"/>
          </w:tcPr>
          <w:p>
            <w:r>
              <w:rPr>
                <w:sz w:val="20"/>
              </w:rPr>
              <w:t>target</w:t>
            </w:r>
          </w:p>
        </w:tc>
        <w:tc>
          <w:tcPr>
            <w:tcW w:type="dxa" w:w="2351"/>
            <w:shd w:fill="F4F6FA" w:val="clear"/>
          </w:tcPr>
          <w:p>
            <w:r>
              <w:rPr>
                <w:sz w:val="20"/>
              </w:rPr>
              <w:t>lowercase</w:t>
            </w:r>
          </w:p>
        </w:tc>
        <w:tc>
          <w:tcPr>
            <w:tcW w:type="dxa" w:w="2351"/>
            <w:shd w:fill="F4F6FA" w:val="clear"/>
          </w:tcPr>
          <w:p>
            <w:r>
              <w:rPr>
                <w:sz w:val="20"/>
              </w:rPr>
              <w:t>snowflake, azure_sql, s3</w:t>
            </w:r>
          </w:p>
        </w:tc>
        <w:tc>
          <w:tcPr>
            <w:tcW w:type="dxa" w:w="2351"/>
            <w:shd w:fill="F4F6FA" w:val="clear"/>
          </w:tcPr>
          <w:p>
            <w:r>
              <w:rPr>
                <w:sz w:val="20"/>
              </w:rPr>
              <w:t>Primary target system</w:t>
            </w:r>
          </w:p>
        </w:tc>
      </w:tr>
      <w:tr>
        <w:tc>
          <w:tcPr>
            <w:tcW w:type="dxa" w:w="2351"/>
          </w:tcPr>
          <w:p>
            <w:r>
              <w:rPr>
                <w:sz w:val="20"/>
              </w:rPr>
              <w:t>owner</w:t>
            </w:r>
          </w:p>
        </w:tc>
        <w:tc>
          <w:tcPr>
            <w:tcW w:type="dxa" w:w="2351"/>
          </w:tcPr>
          <w:p>
            <w:r>
              <w:rPr>
                <w:sz w:val="20"/>
              </w:rPr>
              <w:t>email</w:t>
            </w:r>
          </w:p>
        </w:tc>
        <w:tc>
          <w:tcPr>
            <w:tcW w:type="dxa" w:w="2351"/>
          </w:tcPr>
          <w:p>
            <w:r>
              <w:rPr>
                <w:sz w:val="20"/>
              </w:rPr>
              <w:t>john.doe@mastech.com</w:t>
            </w:r>
          </w:p>
        </w:tc>
        <w:tc>
          <w:tcPr>
            <w:tcW w:type="dxa" w:w="2351"/>
          </w:tcPr>
          <w:p>
            <w:r>
              <w:rPr>
                <w:sz w:val="20"/>
              </w:rPr>
              <w:t>Asset owner for accountability</w:t>
            </w:r>
          </w:p>
        </w:tc>
      </w:tr>
      <w:tr>
        <w:tc>
          <w:tcPr>
            <w:tcW w:type="dxa" w:w="2351"/>
            <w:shd w:fill="F4F6FA" w:val="clear"/>
          </w:tcPr>
          <w:p>
            <w:r>
              <w:rPr>
                <w:sz w:val="20"/>
              </w:rPr>
              <w:t>criticality</w:t>
            </w:r>
          </w:p>
        </w:tc>
        <w:tc>
          <w:tcPr>
            <w:tcW w:type="dxa" w:w="2351"/>
            <w:shd w:fill="F4F6FA" w:val="clear"/>
          </w:tcPr>
          <w:p>
            <w:r>
              <w:rPr>
                <w:sz w:val="20"/>
              </w:rPr>
              <w:t>high/medium/low</w:t>
            </w:r>
          </w:p>
        </w:tc>
        <w:tc>
          <w:tcPr>
            <w:tcW w:type="dxa" w:w="2351"/>
            <w:shd w:fill="F4F6FA" w:val="clear"/>
          </w:tcPr>
          <w:p>
            <w:r>
              <w:rPr>
                <w:sz w:val="20"/>
              </w:rPr>
              <w:t>high</w:t>
            </w:r>
          </w:p>
        </w:tc>
        <w:tc>
          <w:tcPr>
            <w:tcW w:type="dxa" w:w="2351"/>
            <w:shd w:fill="F4F6FA" w:val="clear"/>
          </w:tcPr>
          <w:p>
            <w:r>
              <w:rPr>
                <w:sz w:val="20"/>
              </w:rPr>
              <w:t>Business criticality level</w:t>
            </w:r>
          </w:p>
        </w:tc>
      </w:tr>
    </w:tbl>
    <w:p/>
    <w:p>
      <w:pPr>
        <w:pStyle w:val="Heading2"/>
      </w:pPr>
      <w:r>
        <w:t>7.2 Optional Tags</w:t>
      </w:r>
    </w:p>
    <w:p>
      <w:pPr>
        <w:pStyle w:val="ListBullet"/>
      </w:pPr>
      <w:r>
        <w:t>sla: Expected completion time (e.g., '30min', '2hr')</w:t>
      </w:r>
    </w:p>
    <w:p>
      <w:pPr>
        <w:pStyle w:val="ListBullet"/>
      </w:pPr>
      <w:r>
        <w:t>data_classification: public / internal / confidential / restricted</w:t>
      </w:r>
    </w:p>
    <w:p>
      <w:pPr>
        <w:pStyle w:val="ListBullet"/>
      </w:pPr>
      <w:r>
        <w:t>compliance: gdpr / ccpa / hipaa / sox (if applicable)</w:t>
      </w:r>
    </w:p>
    <w:p>
      <w:pPr>
        <w:pStyle w:val="ListBullet"/>
      </w:pPr>
      <w:r>
        <w:t>cost_center: Department or cost center code</w:t>
      </w:r>
    </w:p>
    <w:p>
      <w:r>
        <w:br w:type="page"/>
      </w:r>
    </w:p>
    <w:p>
      <w:pPr>
        <w:pStyle w:val="Heading1"/>
      </w:pPr>
      <w:r>
        <w:t>8. Naming Validation Rules</w:t>
      </w:r>
    </w:p>
    <w:p>
      <w:r>
        <w:t>Automated validation should be implemented to enforce naming standards as part of the CI/CD pipeline and code review process.</w:t>
      </w:r>
    </w:p>
    <w:p>
      <w:pPr>
        <w:pStyle w:val="Heading2"/>
      </w:pPr>
      <w:r>
        <w:t>8.1 Validation Regex Patterns</w:t>
      </w:r>
    </w:p>
    <w:p>
      <w:pPr>
        <w:pStyle w:val="NoSpacing"/>
        <w:shd w:fill="F5F5F5" w:val="clear"/>
        <w:ind w:left="432"/>
      </w:pPr>
      <w:r>
        <w:rPr>
          <w:rFonts w:ascii="Consolas" w:hAnsi="Consolas"/>
          <w:sz w:val="18"/>
        </w:rPr>
        <w:t># Connection naming validation</w:t>
      </w:r>
    </w:p>
    <w:p>
      <w:pPr>
        <w:pStyle w:val="NoSpacing"/>
        <w:shd w:fill="F5F5F5" w:val="clear"/>
        <w:ind w:left="432"/>
      </w:pPr>
      <w:r>
        <w:rPr>
          <w:rFonts w:ascii="Consolas" w:hAnsi="Consolas"/>
          <w:sz w:val="18"/>
        </w:rPr>
        <w:t>^(DEV|TEST|UAT|PROD)_[a-z][a-z0-9_]+_[a-z][a-z0-9_]+$</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Mapping naming validation</w:t>
      </w:r>
    </w:p>
    <w:p>
      <w:pPr>
        <w:pStyle w:val="NoSpacing"/>
        <w:shd w:fill="F5F5F5" w:val="clear"/>
        <w:ind w:left="432"/>
      </w:pPr>
      <w:r>
        <w:rPr>
          <w:rFonts w:ascii="Consolas" w:hAnsi="Consolas"/>
          <w:sz w:val="18"/>
        </w:rPr>
        <w:t>^m_[a-z][a-z0-9_]+_[a-z][a-z0-9_]+_[a-z][a-z0-9_]+_[a-z][a-z0-9_]+$</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Taskflow naming validation</w:t>
      </w:r>
    </w:p>
    <w:p>
      <w:pPr>
        <w:pStyle w:val="NoSpacing"/>
        <w:shd w:fill="F5F5F5" w:val="clear"/>
        <w:ind w:left="432"/>
      </w:pPr>
      <w:r>
        <w:rPr>
          <w:rFonts w:ascii="Consolas" w:hAnsi="Consolas"/>
          <w:sz w:val="18"/>
        </w:rPr>
        <w:t>^tf_[a-z][a-z0-9_]+_(daily|hourly|weekly|monthly|ondemand|event)_[a-z][a-z0-9_]+$</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Parameter naming validation</w:t>
      </w:r>
    </w:p>
    <w:p>
      <w:pPr>
        <w:pStyle w:val="NoSpacing"/>
        <w:shd w:fill="F5F5F5" w:val="clear"/>
        <w:ind w:left="432"/>
      </w:pPr>
      <w:r>
        <w:rPr>
          <w:rFonts w:ascii="Consolas" w:hAnsi="Consolas"/>
          <w:sz w:val="18"/>
        </w:rPr>
        <w:t>^(\$\$_(global|project|mapping|connection)_[a-z][a-z0-9_]+|(in|out|io)_[a-z][a-z0-9_]+)$</w:t>
      </w:r>
    </w:p>
    <w:p/>
    <w:p>
      <w:pPr>
        <w:pStyle w:val="Heading2"/>
      </w:pPr>
      <w:r>
        <w:t>8.2 Validation Integration Points</w:t>
      </w:r>
    </w:p>
    <w:p>
      <w:pPr>
        <w:pStyle w:val="ListBullet"/>
      </w:pPr>
      <w:r>
        <w:t>Pre-commit hook: Validate asset names before committing to Git</w:t>
      </w:r>
    </w:p>
    <w:p>
      <w:pPr>
        <w:pStyle w:val="ListBullet"/>
      </w:pPr>
      <w:r>
        <w:t>CI/CD pipeline: Automated naming check as a pipeline stage</w:t>
      </w:r>
    </w:p>
    <w:p>
      <w:pPr>
        <w:pStyle w:val="ListBullet"/>
      </w:pPr>
      <w:r>
        <w:t>Code review: Naming compliance included in review checklist</w:t>
      </w:r>
    </w:p>
    <w:p>
      <w:pPr>
        <w:pStyle w:val="ListBullet"/>
      </w:pPr>
      <w:r>
        <w:t>Periodic audit: Monthly scan of all IICS assets for compliance</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Implement a naming validation script that runs as a pre-commit Git hook and as a CI/CD pipeline stage. This catches violations before they reach the repository.</w:t>
      </w:r>
    </w:p>
    <w:p/>
    <w:p>
      <w:r>
        <w:br w:type="page"/>
      </w:r>
    </w:p>
    <w:p>
      <w:pPr>
        <w:pStyle w:val="Heading1"/>
      </w:pPr>
      <w:r>
        <w:t>9. Examples by Asset Type</w:t>
      </w:r>
    </w:p>
    <w:p>
      <w:r>
        <w:t>The following table provides naming examples for all major IICS asset types to serve as a quick reference.</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Asset Type</w:t>
            </w:r>
          </w:p>
        </w:tc>
        <w:tc>
          <w:tcPr>
            <w:tcW w:type="dxa" w:w="3135"/>
            <w:shd w:fill="0C548A" w:val="clear"/>
          </w:tcPr>
          <w:p>
            <w:r>
              <w:rPr>
                <w:b/>
                <w:color w:val="FFFFFF"/>
                <w:sz w:val="20"/>
              </w:rPr>
              <w:t>Pattern</w:t>
            </w:r>
          </w:p>
        </w:tc>
        <w:tc>
          <w:tcPr>
            <w:tcW w:type="dxa" w:w="3135"/>
            <w:shd w:fill="0C548A" w:val="clear"/>
          </w:tcPr>
          <w:p>
            <w:r>
              <w:rPr>
                <w:b/>
                <w:color w:val="FFFFFF"/>
                <w:sz w:val="20"/>
              </w:rPr>
              <w:t>Example</w:t>
            </w:r>
          </w:p>
        </w:tc>
      </w:tr>
      <w:tr>
        <w:tc>
          <w:tcPr>
            <w:tcW w:type="dxa" w:w="3135"/>
          </w:tcPr>
          <w:p>
            <w:r>
              <w:rPr>
                <w:sz w:val="20"/>
              </w:rPr>
              <w:t>Connection</w:t>
            </w:r>
          </w:p>
        </w:tc>
        <w:tc>
          <w:tcPr>
            <w:tcW w:type="dxa" w:w="3135"/>
          </w:tcPr>
          <w:p>
            <w:r>
              <w:rPr>
                <w:sz w:val="20"/>
              </w:rPr>
              <w:t>{ENV}_{SYSTEM}_{TYPE}</w:t>
            </w:r>
          </w:p>
        </w:tc>
        <w:tc>
          <w:tcPr>
            <w:tcW w:type="dxa" w:w="3135"/>
          </w:tcPr>
          <w:p>
            <w:r>
              <w:rPr>
                <w:sz w:val="20"/>
              </w:rPr>
              <w:t>PROD_snowflake_jdbc</w:t>
            </w:r>
          </w:p>
        </w:tc>
      </w:tr>
      <w:tr>
        <w:tc>
          <w:tcPr>
            <w:tcW w:type="dxa" w:w="3135"/>
            <w:shd w:fill="F4F6FA" w:val="clear"/>
          </w:tcPr>
          <w:p>
            <w:r>
              <w:rPr>
                <w:sz w:val="20"/>
              </w:rPr>
              <w:t>Mapping</w:t>
            </w:r>
          </w:p>
        </w:tc>
        <w:tc>
          <w:tcPr>
            <w:tcW w:type="dxa" w:w="3135"/>
            <w:shd w:fill="F4F6FA" w:val="clear"/>
          </w:tcPr>
          <w:p>
            <w:r>
              <w:rPr>
                <w:sz w:val="20"/>
              </w:rPr>
              <w:t>m_{Domain}_{Source}_{Target}_{Pattern}</w:t>
            </w:r>
          </w:p>
        </w:tc>
        <w:tc>
          <w:tcPr>
            <w:tcW w:type="dxa" w:w="3135"/>
            <w:shd w:fill="F4F6FA" w:val="clear"/>
          </w:tcPr>
          <w:p>
            <w:r>
              <w:rPr>
                <w:sz w:val="20"/>
              </w:rPr>
              <w:t>m_customer_sfdc_snowflake_full</w:t>
            </w:r>
          </w:p>
        </w:tc>
      </w:tr>
      <w:tr>
        <w:tc>
          <w:tcPr>
            <w:tcW w:type="dxa" w:w="3135"/>
          </w:tcPr>
          <w:p>
            <w:r>
              <w:rPr>
                <w:sz w:val="20"/>
              </w:rPr>
              <w:t>Mapping Task</w:t>
            </w:r>
          </w:p>
        </w:tc>
        <w:tc>
          <w:tcPr>
            <w:tcW w:type="dxa" w:w="3135"/>
          </w:tcPr>
          <w:p>
            <w:r>
              <w:rPr>
                <w:sz w:val="20"/>
              </w:rPr>
              <w:t>mt_{Domain}_{Source}_{Target}_{Pattern}</w:t>
            </w:r>
          </w:p>
        </w:tc>
        <w:tc>
          <w:tcPr>
            <w:tcW w:type="dxa" w:w="3135"/>
          </w:tcPr>
          <w:p>
            <w:r>
              <w:rPr>
                <w:sz w:val="20"/>
              </w:rPr>
              <w:t>mt_customer_sfdc_snowflake_full</w:t>
            </w:r>
          </w:p>
        </w:tc>
      </w:tr>
      <w:tr>
        <w:tc>
          <w:tcPr>
            <w:tcW w:type="dxa" w:w="3135"/>
            <w:shd w:fill="F4F6FA" w:val="clear"/>
          </w:tcPr>
          <w:p>
            <w:r>
              <w:rPr>
                <w:sz w:val="20"/>
              </w:rPr>
              <w:t>Taskflow</w:t>
            </w:r>
          </w:p>
        </w:tc>
        <w:tc>
          <w:tcPr>
            <w:tcW w:type="dxa" w:w="3135"/>
            <w:shd w:fill="F4F6FA" w:val="clear"/>
          </w:tcPr>
          <w:p>
            <w:r>
              <w:rPr>
                <w:sz w:val="20"/>
              </w:rPr>
              <w:t>tf_{Domain}_{Freq}_{Description}</w:t>
            </w:r>
          </w:p>
        </w:tc>
        <w:tc>
          <w:tcPr>
            <w:tcW w:type="dxa" w:w="3135"/>
            <w:shd w:fill="F4F6FA" w:val="clear"/>
          </w:tcPr>
          <w:p>
            <w:r>
              <w:rPr>
                <w:sz w:val="20"/>
              </w:rPr>
              <w:t>tf_finance_daily_ledger_load</w:t>
            </w:r>
          </w:p>
        </w:tc>
      </w:tr>
      <w:tr>
        <w:tc>
          <w:tcPr>
            <w:tcW w:type="dxa" w:w="3135"/>
          </w:tcPr>
          <w:p>
            <w:r>
              <w:rPr>
                <w:sz w:val="20"/>
              </w:rPr>
              <w:t>Linear Taskflow</w:t>
            </w:r>
          </w:p>
        </w:tc>
        <w:tc>
          <w:tcPr>
            <w:tcW w:type="dxa" w:w="3135"/>
          </w:tcPr>
          <w:p>
            <w:r>
              <w:rPr>
                <w:sz w:val="20"/>
              </w:rPr>
              <w:t>ltf_{Domain}_{Freq}_{Description}</w:t>
            </w:r>
          </w:p>
        </w:tc>
        <w:tc>
          <w:tcPr>
            <w:tcW w:type="dxa" w:w="3135"/>
          </w:tcPr>
          <w:p>
            <w:r>
              <w:rPr>
                <w:sz w:val="20"/>
              </w:rPr>
              <w:t>ltf_hr_weekly_payroll_sync</w:t>
            </w:r>
          </w:p>
        </w:tc>
      </w:tr>
      <w:tr>
        <w:tc>
          <w:tcPr>
            <w:tcW w:type="dxa" w:w="3135"/>
            <w:shd w:fill="F4F6FA" w:val="clear"/>
          </w:tcPr>
          <w:p>
            <w:r>
              <w:rPr>
                <w:sz w:val="20"/>
              </w:rPr>
              <w:t>Synchronization Task</w:t>
            </w:r>
          </w:p>
        </w:tc>
        <w:tc>
          <w:tcPr>
            <w:tcW w:type="dxa" w:w="3135"/>
            <w:shd w:fill="F4F6FA" w:val="clear"/>
          </w:tcPr>
          <w:p>
            <w:r>
              <w:rPr>
                <w:sz w:val="20"/>
              </w:rPr>
              <w:t>sync_{Domain}_{Source}_{Target}</w:t>
            </w:r>
          </w:p>
        </w:tc>
        <w:tc>
          <w:tcPr>
            <w:tcW w:type="dxa" w:w="3135"/>
            <w:shd w:fill="F4F6FA" w:val="clear"/>
          </w:tcPr>
          <w:p>
            <w:r>
              <w:rPr>
                <w:sz w:val="20"/>
              </w:rPr>
              <w:t>sync_product_s3_snowflake</w:t>
            </w:r>
          </w:p>
        </w:tc>
      </w:tr>
      <w:tr>
        <w:tc>
          <w:tcPr>
            <w:tcW w:type="dxa" w:w="3135"/>
          </w:tcPr>
          <w:p>
            <w:r>
              <w:rPr>
                <w:sz w:val="20"/>
              </w:rPr>
              <w:t>Schedule</w:t>
            </w:r>
          </w:p>
        </w:tc>
        <w:tc>
          <w:tcPr>
            <w:tcW w:type="dxa" w:w="3135"/>
          </w:tcPr>
          <w:p>
            <w:r>
              <w:rPr>
                <w:sz w:val="20"/>
              </w:rPr>
              <w:t>sch_{Domain}_{Freq}_{Description}</w:t>
            </w:r>
          </w:p>
        </w:tc>
        <w:tc>
          <w:tcPr>
            <w:tcW w:type="dxa" w:w="3135"/>
          </w:tcPr>
          <w:p>
            <w:r>
              <w:rPr>
                <w:sz w:val="20"/>
              </w:rPr>
              <w:t>sch_customer_daily_0600_utc</w:t>
            </w:r>
          </w:p>
        </w:tc>
      </w:tr>
      <w:tr>
        <w:tc>
          <w:tcPr>
            <w:tcW w:type="dxa" w:w="3135"/>
            <w:shd w:fill="F4F6FA" w:val="clear"/>
          </w:tcPr>
          <w:p>
            <w:r>
              <w:rPr>
                <w:sz w:val="20"/>
              </w:rPr>
              <w:t>Parameter File</w:t>
            </w:r>
          </w:p>
        </w:tc>
        <w:tc>
          <w:tcPr>
            <w:tcW w:type="dxa" w:w="3135"/>
            <w:shd w:fill="F4F6FA" w:val="clear"/>
          </w:tcPr>
          <w:p>
            <w:r>
              <w:rPr>
                <w:sz w:val="20"/>
              </w:rPr>
              <w:t>param_{Domain}_{Scope}</w:t>
            </w:r>
          </w:p>
        </w:tc>
        <w:tc>
          <w:tcPr>
            <w:tcW w:type="dxa" w:w="3135"/>
            <w:shd w:fill="F4F6FA" w:val="clear"/>
          </w:tcPr>
          <w:p>
            <w:r>
              <w:rPr>
                <w:sz w:val="20"/>
              </w:rPr>
              <w:t>param_finance_global</w:t>
            </w:r>
          </w:p>
        </w:tc>
      </w:tr>
      <w:tr>
        <w:tc>
          <w:tcPr>
            <w:tcW w:type="dxa" w:w="3135"/>
          </w:tcPr>
          <w:p>
            <w:r>
              <w:rPr>
                <w:sz w:val="20"/>
              </w:rPr>
              <w:t>Data Quality Rule</w:t>
            </w:r>
          </w:p>
        </w:tc>
        <w:tc>
          <w:tcPr>
            <w:tcW w:type="dxa" w:w="3135"/>
          </w:tcPr>
          <w:p>
            <w:r>
              <w:rPr>
                <w:sz w:val="20"/>
              </w:rPr>
              <w:t>dq_{Domain}_{RuleType}_{Description}</w:t>
            </w:r>
          </w:p>
        </w:tc>
        <w:tc>
          <w:tcPr>
            <w:tcW w:type="dxa" w:w="3135"/>
          </w:tcPr>
          <w:p>
            <w:r>
              <w:rPr>
                <w:sz w:val="20"/>
              </w:rPr>
              <w:t>dq_customer_null_check_email</w:t>
            </w:r>
          </w:p>
        </w:tc>
      </w:tr>
      <w:tr>
        <w:tc>
          <w:tcPr>
            <w:tcW w:type="dxa" w:w="3135"/>
            <w:shd w:fill="F4F6FA" w:val="clear"/>
          </w:tcPr>
          <w:p>
            <w:r>
              <w:rPr>
                <w:sz w:val="20"/>
              </w:rPr>
              <w:t>Human Task</w:t>
            </w:r>
          </w:p>
        </w:tc>
        <w:tc>
          <w:tcPr>
            <w:tcW w:type="dxa" w:w="3135"/>
            <w:shd w:fill="F4F6FA" w:val="clear"/>
          </w:tcPr>
          <w:p>
            <w:r>
              <w:rPr>
                <w:sz w:val="20"/>
              </w:rPr>
              <w:t>ht_{Domain}_{Description}</w:t>
            </w:r>
          </w:p>
        </w:tc>
        <w:tc>
          <w:tcPr>
            <w:tcW w:type="dxa" w:w="3135"/>
            <w:shd w:fill="F4F6FA" w:val="clear"/>
          </w:tcPr>
          <w:p>
            <w:r>
              <w:rPr>
                <w:sz w:val="20"/>
              </w:rPr>
              <w:t>ht_finance_approval_journal_entry</w:t>
            </w:r>
          </w:p>
        </w:tc>
      </w:tr>
      <w:tr>
        <w:tc>
          <w:tcPr>
            <w:tcW w:type="dxa" w:w="3135"/>
          </w:tcPr>
          <w:p>
            <w:r>
              <w:rPr>
                <w:sz w:val="20"/>
              </w:rPr>
              <w:t>Guide</w:t>
            </w:r>
          </w:p>
        </w:tc>
        <w:tc>
          <w:tcPr>
            <w:tcW w:type="dxa" w:w="3135"/>
          </w:tcPr>
          <w:p>
            <w:r>
              <w:rPr>
                <w:sz w:val="20"/>
              </w:rPr>
              <w:t>gd_{Domain}_{Description}</w:t>
            </w:r>
          </w:p>
        </w:tc>
        <w:tc>
          <w:tcPr>
            <w:tcW w:type="dxa" w:w="3135"/>
          </w:tcPr>
          <w:p>
            <w:r>
              <w:rPr>
                <w:sz w:val="20"/>
              </w:rPr>
              <w:t>gd_customer_onboarding_flow</w:t>
            </w:r>
          </w:p>
        </w:tc>
      </w:tr>
      <w:tr>
        <w:tc>
          <w:tcPr>
            <w:tcW w:type="dxa" w:w="3135"/>
            <w:shd w:fill="F4F6FA" w:val="clear"/>
          </w:tcPr>
          <w:p>
            <w:r>
              <w:rPr>
                <w:sz w:val="20"/>
              </w:rPr>
              <w:t>Project</w:t>
            </w:r>
          </w:p>
        </w:tc>
        <w:tc>
          <w:tcPr>
            <w:tcW w:type="dxa" w:w="3135"/>
            <w:shd w:fill="F4F6FA" w:val="clear"/>
          </w:tcPr>
          <w:p>
            <w:r>
              <w:rPr>
                <w:sz w:val="20"/>
              </w:rPr>
              <w:t>Project_{Domain}</w:t>
            </w:r>
          </w:p>
        </w:tc>
        <w:tc>
          <w:tcPr>
            <w:tcW w:type="dxa" w:w="3135"/>
            <w:shd w:fill="F4F6FA" w:val="clear"/>
          </w:tcPr>
          <w:p>
            <w:r>
              <w:rPr>
                <w:sz w:val="20"/>
              </w:rPr>
              <w:t>Project_Customer</w:t>
            </w:r>
          </w:p>
        </w:tc>
      </w:tr>
      <w:tr>
        <w:tc>
          <w:tcPr>
            <w:tcW w:type="dxa" w:w="3135"/>
          </w:tcPr>
          <w:p>
            <w:r>
              <w:rPr>
                <w:sz w:val="20"/>
              </w:rPr>
              <w:t>Folder</w:t>
            </w:r>
          </w:p>
        </w:tc>
        <w:tc>
          <w:tcPr>
            <w:tcW w:type="dxa" w:w="3135"/>
          </w:tcPr>
          <w:p>
            <w:r>
              <w:rPr>
                <w:sz w:val="20"/>
              </w:rPr>
              <w:t>{Category}</w:t>
            </w:r>
          </w:p>
        </w:tc>
        <w:tc>
          <w:tcPr>
            <w:tcW w:type="dxa" w:w="3135"/>
          </w:tcPr>
          <w:p>
            <w:r>
              <w:rPr>
                <w:sz w:val="20"/>
              </w:rPr>
              <w:t>Full_Load</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Print this table and post it in your team's collaboration space. Quick access to naming patterns significantly improves adoption rates.</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Project Governance Framework</w:t>
            </w:r>
          </w:p>
        </w:tc>
        <w:tc>
          <w:tcPr>
            <w:tcW w:type="dxa" w:w="4703"/>
          </w:tcPr>
          <w:p>
            <w:r>
              <w:rPr>
                <w:sz w:val="20"/>
              </w:rPr>
              <w:t>Governance_Library / #48</w:t>
            </w:r>
          </w:p>
        </w:tc>
      </w:tr>
      <w:tr>
        <w:tc>
          <w:tcPr>
            <w:tcW w:type="dxa" w:w="4703"/>
            <w:shd w:fill="F4F6FA" w:val="clear"/>
          </w:tcPr>
          <w:p>
            <w:r>
              <w:rPr>
                <w:sz w:val="20"/>
              </w:rPr>
              <w:t>Quality Gates &amp; Checkpoints</w:t>
            </w:r>
          </w:p>
        </w:tc>
        <w:tc>
          <w:tcPr>
            <w:tcW w:type="dxa" w:w="4703"/>
            <w:shd w:fill="F4F6FA" w:val="clear"/>
          </w:tcPr>
          <w:p>
            <w:r>
              <w:rPr>
                <w:sz w:val="20"/>
              </w:rPr>
              <w:t>Governance_Library / #49</w:t>
            </w:r>
          </w:p>
        </w:tc>
      </w:tr>
      <w:tr>
        <w:tc>
          <w:tcPr>
            <w:tcW w:type="dxa" w:w="4703"/>
          </w:tcPr>
          <w:p>
            <w:r>
              <w:rPr>
                <w:sz w:val="20"/>
              </w:rPr>
              <w:t>CI/CD &amp; Environment Promotion Guide</w:t>
            </w:r>
          </w:p>
        </w:tc>
        <w:tc>
          <w:tcPr>
            <w:tcW w:type="dxa" w:w="4703"/>
          </w:tcPr>
          <w:p>
            <w:r>
              <w:rPr>
                <w:sz w:val="20"/>
              </w:rPr>
              <w:t>Governance_Library / #51</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