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p>
    <w:p/>
    <w:p>
      <w:pPr>
        <w:pStyle w:val="Title"/>
      </w:pPr>
      <w:r>
        <w:rPr>
          <w:color w:val="0C548A"/>
          <w:sz w:val="56"/>
        </w:rPr>
        <w:t>Program Metrics &amp; KPIs</w:t>
      </w:r>
    </w:p>
    <w:p>
      <w:r>
        <w:rPr>
          <w:b/>
          <w:color w:val="FF6D00"/>
          <w:sz w:val="28"/>
        </w:rPr>
        <w:t>Mastech Digital — Informatica Platform Assets</w:t>
      </w:r>
    </w:p>
    <w:p>
      <w:r>
        <w:rPr>
          <w:i/>
          <w:color w:val="4B5563"/>
          <w:sz w:val="22"/>
        </w:rPr>
        <w:t>Comprehensive metrics framework and KPI catalog for Informatica IDMC program governance.</w:t>
      </w:r>
    </w:p>
    <w:p/>
    <w:tbl>
      <w:tblPr>
        <w:tblStyle w:val="TableGrid"/>
        <w:tblW w:type="auto" w:w="0"/>
        <w:tblLook w:firstColumn="1" w:firstRow="1" w:lastColumn="0" w:lastRow="0" w:noHBand="0" w:noVBand="1" w:val="04A0"/>
      </w:tblPr>
      <w:tblGrid>
        <w:gridCol w:w="4703"/>
        <w:gridCol w:w="4703"/>
      </w:tblGrid>
      <w:tr>
        <w:tc>
          <w:tcPr>
            <w:tcW w:type="dxa" w:w="4703"/>
            <w:shd w:fill="0C548A" w:val="clear"/>
          </w:tcPr>
          <w:p>
            <w:r>
              <w:rPr>
                <w:b/>
                <w:color w:val="FFFFFF"/>
                <w:sz w:val="20"/>
              </w:rPr>
              <w:t>Document</w:t>
            </w:r>
          </w:p>
        </w:tc>
        <w:tc>
          <w:tcPr>
            <w:tcW w:type="dxa" w:w="4703"/>
            <w:shd w:fill="F4F6FA" w:val="clear"/>
          </w:tcPr>
          <w:p>
            <w:r>
              <w:rPr>
                <w:sz w:val="20"/>
              </w:rPr>
              <w:t>Program Metrics &amp; KPIs</w:t>
            </w:r>
          </w:p>
        </w:tc>
      </w:tr>
      <w:tr>
        <w:tc>
          <w:tcPr>
            <w:tcW w:type="dxa" w:w="4703"/>
            <w:shd w:fill="0C548A" w:val="clear"/>
          </w:tcPr>
          <w:p>
            <w:r>
              <w:rPr>
                <w:b/>
                <w:color w:val="FFFFFF"/>
                <w:sz w:val="20"/>
              </w:rPr>
              <w:t>Category</w:t>
            </w:r>
          </w:p>
        </w:tc>
        <w:tc>
          <w:tcPr>
            <w:tcW w:type="dxa" w:w="4703"/>
          </w:tcPr>
          <w:p>
            <w:r>
              <w:rPr>
                <w:sz w:val="20"/>
              </w:rPr>
              <w:t>Governance Library</w:t>
            </w:r>
          </w:p>
        </w:tc>
      </w:tr>
      <w:tr>
        <w:tc>
          <w:tcPr>
            <w:tcW w:type="dxa" w:w="4703"/>
            <w:shd w:fill="0C548A" w:val="clear"/>
          </w:tcPr>
          <w:p>
            <w:r>
              <w:rPr>
                <w:b/>
                <w:color w:val="FFFFFF"/>
                <w:sz w:val="20"/>
              </w:rPr>
              <w:t>Document ID</w:t>
            </w:r>
          </w:p>
        </w:tc>
        <w:tc>
          <w:tcPr>
            <w:tcW w:type="dxa" w:w="4703"/>
            <w:shd w:fill="F4F6FA" w:val="clear"/>
          </w:tcPr>
          <w:p>
            <w:r>
              <w:rPr>
                <w:sz w:val="20"/>
              </w:rPr>
              <w:t>#53</w:t>
            </w:r>
          </w:p>
        </w:tc>
      </w:tr>
      <w:tr>
        <w:tc>
          <w:tcPr>
            <w:tcW w:type="dxa" w:w="4703"/>
            <w:shd w:fill="0C548A" w:val="clear"/>
          </w:tcPr>
          <w:p>
            <w:r>
              <w:rPr>
                <w:b/>
                <w:color w:val="FFFFFF"/>
                <w:sz w:val="20"/>
              </w:rPr>
              <w:t>Version</w:t>
            </w:r>
          </w:p>
        </w:tc>
        <w:tc>
          <w:tcPr>
            <w:tcW w:type="dxa" w:w="4703"/>
          </w:tcPr>
          <w:p>
            <w:r>
              <w:rPr>
                <w:sz w:val="20"/>
              </w:rPr>
              <w:t>1.0</w:t>
            </w:r>
          </w:p>
        </w:tc>
      </w:tr>
      <w:tr>
        <w:tc>
          <w:tcPr>
            <w:tcW w:type="dxa" w:w="4703"/>
            <w:shd w:fill="0C548A" w:val="clear"/>
          </w:tcPr>
          <w:p>
            <w:r>
              <w:rPr>
                <w:b/>
                <w:color w:val="FFFFFF"/>
                <w:sz w:val="20"/>
              </w:rPr>
              <w:t>Date</w:t>
            </w:r>
          </w:p>
        </w:tc>
        <w:tc>
          <w:tcPr>
            <w:tcW w:type="dxa" w:w="4703"/>
            <w:shd w:fill="F4F6FA" w:val="clear"/>
          </w:tcPr>
          <w:p>
            <w:r>
              <w:rPr>
                <w:sz w:val="20"/>
              </w:rPr>
              <w:t>February 2026</w:t>
            </w:r>
          </w:p>
        </w:tc>
      </w:tr>
      <w:tr>
        <w:tc>
          <w:tcPr>
            <w:tcW w:type="dxa" w:w="4703"/>
            <w:shd w:fill="0C548A" w:val="clear"/>
          </w:tcPr>
          <w:p>
            <w:r>
              <w:rPr>
                <w:b/>
                <w:color w:val="FFFFFF"/>
                <w:sz w:val="20"/>
              </w:rPr>
              <w:t>Author</w:t>
            </w:r>
          </w:p>
        </w:tc>
        <w:tc>
          <w:tcPr>
            <w:tcW w:type="dxa" w:w="4703"/>
          </w:tcPr>
          <w:p>
            <w:r>
              <w:rPr>
                <w:sz w:val="20"/>
              </w:rPr>
              <w:t>Mastech Digital — Informatica Practice</w:t>
            </w:r>
          </w:p>
        </w:tc>
      </w:tr>
      <w:tr>
        <w:tc>
          <w:tcPr>
            <w:tcW w:type="dxa" w:w="4703"/>
            <w:shd w:fill="0C548A" w:val="clear"/>
          </w:tcPr>
          <w:p>
            <w:r>
              <w:rPr>
                <w:b/>
                <w:color w:val="FFFFFF"/>
                <w:sz w:val="20"/>
              </w:rPr>
              <w:t>Reviewed By</w:t>
            </w:r>
          </w:p>
        </w:tc>
        <w:tc>
          <w:tcPr>
            <w:tcW w:type="dxa" w:w="4703"/>
            <w:shd w:fill="F4F6FA" w:val="clear"/>
          </w:tcPr>
          <w:p>
            <w:r>
              <w:rPr>
                <w:sz w:val="20"/>
              </w:rPr>
              <w:t>Pending – Internal Review</w:t>
            </w:r>
          </w:p>
        </w:tc>
      </w:tr>
      <w:tr>
        <w:tc>
          <w:tcPr>
            <w:tcW w:type="dxa" w:w="4703"/>
            <w:shd w:fill="0C548A" w:val="clear"/>
          </w:tcPr>
          <w:p>
            <w:r>
              <w:rPr>
                <w:b/>
                <w:color w:val="FFFFFF"/>
                <w:sz w:val="20"/>
              </w:rPr>
              <w:t>Status</w:t>
            </w:r>
          </w:p>
        </w:tc>
        <w:tc>
          <w:tcPr>
            <w:tcW w:type="dxa" w:w="4703"/>
          </w:tcPr>
          <w:p>
            <w:r>
              <w:rPr>
                <w:sz w:val="20"/>
              </w:rPr>
              <w:t>Draft</w:t>
            </w:r>
          </w:p>
        </w:tc>
      </w:tr>
      <w:tr>
        <w:tc>
          <w:tcPr>
            <w:tcW w:type="dxa" w:w="4703"/>
            <w:shd w:fill="0C548A" w:val="clear"/>
          </w:tcPr>
          <w:p>
            <w:r>
              <w:rPr>
                <w:b/>
                <w:color w:val="FFFFFF"/>
                <w:sz w:val="20"/>
              </w:rPr>
              <w:t>Classification</w:t>
            </w:r>
          </w:p>
        </w:tc>
        <w:tc>
          <w:tcPr>
            <w:tcW w:type="dxa" w:w="4703"/>
            <w:shd w:fill="F4F6FA" w:val="clear"/>
          </w:tcPr>
          <w:p>
            <w:r>
              <w:rPr>
                <w:sz w:val="20"/>
              </w:rPr>
              <w:t>Internal – Mastech Digital</w:t>
            </w:r>
          </w:p>
        </w:tc>
      </w:tr>
      <w:tr>
        <w:tc>
          <w:tcPr>
            <w:tcW w:type="dxa" w:w="4703"/>
            <w:shd w:fill="0C548A" w:val="clear"/>
          </w:tcPr>
          <w:p>
            <w:r>
              <w:rPr>
                <w:b/>
                <w:color w:val="FFFFFF"/>
                <w:sz w:val="20"/>
              </w:rPr>
              <w:t>Platform Version</w:t>
            </w:r>
          </w:p>
        </w:tc>
        <w:tc>
          <w:tcPr>
            <w:tcW w:type="dxa" w:w="4703"/>
          </w:tcPr>
          <w:p>
            <w:r>
              <w:rPr>
                <w:sz w:val="20"/>
              </w:rPr>
              <w:t>Informatica IDMC (IICS) – Early 2026</w:t>
            </w:r>
          </w:p>
        </w:tc>
      </w:tr>
      <w:tr>
        <w:tc>
          <w:tcPr>
            <w:tcW w:type="dxa" w:w="4703"/>
            <w:shd w:fill="0C548A" w:val="clear"/>
          </w:tcPr>
          <w:p>
            <w:r>
              <w:rPr>
                <w:b/>
                <w:color w:val="FFFFFF"/>
                <w:sz w:val="20"/>
              </w:rPr>
              <w:t>Next Review</w:t>
            </w:r>
          </w:p>
        </w:tc>
        <w:tc>
          <w:tcPr>
            <w:tcW w:type="dxa" w:w="4703"/>
            <w:shd w:fill="F4F6FA" w:val="clear"/>
          </w:tcPr>
          <w:p>
            <w:r>
              <w:rPr>
                <w:sz w:val="20"/>
              </w:rPr>
              <w:t>August 2026</w:t>
            </w:r>
          </w:p>
        </w:tc>
      </w:tr>
    </w:tbl>
    <w:p/>
    <w:p>
      <w:r>
        <w:br w:type="page"/>
      </w:r>
    </w:p>
    <w:p>
      <w:pPr>
        <w:pStyle w:val="Heading1"/>
      </w:pPr>
      <w:r>
        <w:t>Executive Summary</w:t>
      </w:r>
    </w:p>
    <w:p>
      <w:r>
        <w:t>Effective program governance requires measurable indicators that objectively track delivery health, quality outcomes, adoption rates, and business value realization. This document defines the metrics framework, KPI catalog, measurement methodology, and reporting cadence for Informatica IDMC implementation programs. It provides standardized dashboards and benchmarks to enable data-driven decision-making across all program phases.</w:t>
      </w:r>
    </w:p>
    <w:p/>
    <w:p>
      <w:pPr>
        <w:pStyle w:val="Heading1"/>
      </w:pPr>
      <w:r>
        <w:t>Table of Contents</w:t>
      </w:r>
    </w:p>
    <w:p>
      <w:pPr>
        <w:spacing w:after="60"/>
      </w:pPr>
      <w:r>
        <w:rPr>
          <w:color w:val="0C548A"/>
          <w:sz w:val="22"/>
        </w:rPr>
        <w:t>1.0  Metrics Framework Overview</w:t>
      </w:r>
    </w:p>
    <w:p>
      <w:pPr>
        <w:spacing w:after="60"/>
      </w:pPr>
      <w:r>
        <w:rPr>
          <w:color w:val="0C548A"/>
          <w:sz w:val="22"/>
        </w:rPr>
        <w:t>2.0  Delivery KPIs</w:t>
      </w:r>
    </w:p>
    <w:p>
      <w:pPr>
        <w:spacing w:after="60"/>
      </w:pPr>
      <w:r>
        <w:rPr>
          <w:color w:val="0C548A"/>
          <w:sz w:val="22"/>
        </w:rPr>
        <w:t>3.0  Quality KPIs</w:t>
      </w:r>
    </w:p>
    <w:p>
      <w:pPr>
        <w:spacing w:after="60"/>
      </w:pPr>
      <w:r>
        <w:rPr>
          <w:color w:val="0C548A"/>
          <w:sz w:val="22"/>
        </w:rPr>
        <w:t>4.0  Adoption KPIs</w:t>
      </w:r>
    </w:p>
    <w:p>
      <w:pPr>
        <w:spacing w:after="60"/>
      </w:pPr>
      <w:r>
        <w:rPr>
          <w:color w:val="0C548A"/>
          <w:sz w:val="22"/>
        </w:rPr>
        <w:t>5.0  Value Realization KPIs</w:t>
      </w:r>
    </w:p>
    <w:p>
      <w:pPr>
        <w:spacing w:after="60"/>
      </w:pPr>
      <w:r>
        <w:rPr>
          <w:color w:val="0C548A"/>
          <w:sz w:val="22"/>
        </w:rPr>
        <w:t>6.0  Measurement Methodology</w:t>
      </w:r>
    </w:p>
    <w:p>
      <w:pPr>
        <w:spacing w:after="60"/>
      </w:pPr>
      <w:r>
        <w:rPr>
          <w:color w:val="0C548A"/>
          <w:sz w:val="22"/>
        </w:rPr>
        <w:t>7.0  Dashboard Design</w:t>
      </w:r>
    </w:p>
    <w:p>
      <w:pPr>
        <w:spacing w:after="60"/>
      </w:pPr>
      <w:r>
        <w:rPr>
          <w:color w:val="0C548A"/>
          <w:sz w:val="22"/>
        </w:rPr>
        <w:t>8.0  Reporting Cadence</w:t>
      </w:r>
    </w:p>
    <w:p>
      <w:pPr>
        <w:spacing w:after="60"/>
      </w:pPr>
      <w:r>
        <w:rPr>
          <w:color w:val="0C548A"/>
          <w:sz w:val="22"/>
        </w:rPr>
        <w:t>9.0  Benchmarking &amp; Targets</w:t>
      </w:r>
    </w:p>
    <w:p>
      <w:pPr>
        <w:spacing w:after="60"/>
      </w:pPr>
      <w:r>
        <w:rPr>
          <w:color w:val="0C548A"/>
          <w:sz w:val="22"/>
        </w:rPr>
        <w:t>10.0  Data Quality Metrics</w:t>
      </w:r>
    </w:p>
    <w:p>
      <w:pPr>
        <w:spacing w:after="60"/>
      </w:pPr>
      <w:r>
        <w:rPr>
          <w:color w:val="0C548A"/>
          <w:sz w:val="22"/>
        </w:rPr>
        <w:t>11.0  IPU Utilization Metrics</w:t>
      </w:r>
    </w:p>
    <w:p>
      <w:pPr>
        <w:spacing w:after="60"/>
      </w:pPr>
      <w:r>
        <w:rPr>
          <w:color w:val="0C548A"/>
          <w:sz w:val="22"/>
        </w:rPr>
        <w:t>12.0  Time-to-Value Tracking</w:t>
      </w:r>
    </w:p>
    <w:p>
      <w:r>
        <w:br w:type="page"/>
      </w:r>
    </w:p>
    <w:p>
      <w:pPr>
        <w:pStyle w:val="Heading1"/>
      </w:pPr>
      <w:r>
        <w:t>Prerequisites &amp; Applicability</w:t>
      </w:r>
    </w:p>
    <w:p>
      <w:pPr>
        <w:pStyle w:val="ListBullet"/>
      </w:pPr>
      <w:r>
        <w:t>Program charter and scope baseline approved</w:t>
      </w:r>
    </w:p>
    <w:p>
      <w:pPr>
        <w:pStyle w:val="ListBullet"/>
      </w:pPr>
      <w:r>
        <w:t>IDMC environment provisioned with monitoring access</w:t>
      </w:r>
    </w:p>
    <w:p>
      <w:pPr>
        <w:pStyle w:val="ListBullet"/>
      </w:pPr>
      <w:r>
        <w:t>IPU allocation documented and budgeted</w:t>
      </w:r>
    </w:p>
    <w:p>
      <w:pPr>
        <w:pStyle w:val="ListBullet"/>
      </w:pPr>
      <w:r>
        <w:t>Stakeholder agreement on KPI definitions and targets</w:t>
      </w:r>
    </w:p>
    <w:p>
      <w:pPr>
        <w:pStyle w:val="ListBullet"/>
      </w:pPr>
      <w:r>
        <w:t>Reporting tooling available (Power BI, Tableau, or IICS dashboards)</w:t>
      </w:r>
    </w:p>
    <w:p/>
    <w:p>
      <w:pPr>
        <w:pStyle w:val="Heading1"/>
      </w:pPr>
      <w:r>
        <w:t>1. Metrics Framework Overview</w:t>
      </w:r>
    </w:p>
    <w:p>
      <w:r>
        <w:t>The metrics framework organizes program indicators into four pillars: Delivery, Quality, Adoption, and Value. Each pillar contains specific KPIs with defined measurement methods, data sources, targets, and reporting frequencies.</w:t>
      </w:r>
    </w:p>
    <w:p>
      <w:pPr>
        <w:pStyle w:val="Heading2"/>
      </w:pPr>
      <w:r>
        <w:t>1.1 Framework Pillars</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Pillar</w:t>
            </w:r>
          </w:p>
        </w:tc>
        <w:tc>
          <w:tcPr>
            <w:tcW w:type="dxa" w:w="2351"/>
            <w:shd w:fill="0C548A" w:val="clear"/>
          </w:tcPr>
          <w:p>
            <w:r>
              <w:rPr>
                <w:b/>
                <w:color w:val="FFFFFF"/>
                <w:sz w:val="20"/>
              </w:rPr>
              <w:t>Focus Area</w:t>
            </w:r>
          </w:p>
        </w:tc>
        <w:tc>
          <w:tcPr>
            <w:tcW w:type="dxa" w:w="2351"/>
            <w:shd w:fill="0C548A" w:val="clear"/>
          </w:tcPr>
          <w:p>
            <w:r>
              <w:rPr>
                <w:b/>
                <w:color w:val="FFFFFF"/>
                <w:sz w:val="20"/>
              </w:rPr>
              <w:t>Primary Audience</w:t>
            </w:r>
          </w:p>
        </w:tc>
        <w:tc>
          <w:tcPr>
            <w:tcW w:type="dxa" w:w="2351"/>
            <w:shd w:fill="0C548A" w:val="clear"/>
          </w:tcPr>
          <w:p>
            <w:r>
              <w:rPr>
                <w:b/>
                <w:color w:val="FFFFFF"/>
                <w:sz w:val="20"/>
              </w:rPr>
              <w:t>Cadence</w:t>
            </w:r>
          </w:p>
        </w:tc>
      </w:tr>
      <w:tr>
        <w:tc>
          <w:tcPr>
            <w:tcW w:type="dxa" w:w="2351"/>
          </w:tcPr>
          <w:p>
            <w:r>
              <w:rPr>
                <w:sz w:val="20"/>
              </w:rPr>
              <w:t>Delivery</w:t>
            </w:r>
          </w:p>
        </w:tc>
        <w:tc>
          <w:tcPr>
            <w:tcW w:type="dxa" w:w="2351"/>
          </w:tcPr>
          <w:p>
            <w:r>
              <w:rPr>
                <w:sz w:val="20"/>
              </w:rPr>
              <w:t>Schedule, scope, budget adherence</w:t>
            </w:r>
          </w:p>
        </w:tc>
        <w:tc>
          <w:tcPr>
            <w:tcW w:type="dxa" w:w="2351"/>
          </w:tcPr>
          <w:p>
            <w:r>
              <w:rPr>
                <w:sz w:val="20"/>
              </w:rPr>
              <w:t>PMO, Steering Committee</w:t>
            </w:r>
          </w:p>
        </w:tc>
        <w:tc>
          <w:tcPr>
            <w:tcW w:type="dxa" w:w="2351"/>
          </w:tcPr>
          <w:p>
            <w:r>
              <w:rPr>
                <w:sz w:val="20"/>
              </w:rPr>
              <w:t>Weekly</w:t>
            </w:r>
          </w:p>
        </w:tc>
      </w:tr>
      <w:tr>
        <w:tc>
          <w:tcPr>
            <w:tcW w:type="dxa" w:w="2351"/>
            <w:shd w:fill="F4F6FA" w:val="clear"/>
          </w:tcPr>
          <w:p>
            <w:r>
              <w:rPr>
                <w:sz w:val="20"/>
              </w:rPr>
              <w:t>Quality</w:t>
            </w:r>
          </w:p>
        </w:tc>
        <w:tc>
          <w:tcPr>
            <w:tcW w:type="dxa" w:w="2351"/>
            <w:shd w:fill="F4F6FA" w:val="clear"/>
          </w:tcPr>
          <w:p>
            <w:r>
              <w:rPr>
                <w:sz w:val="20"/>
              </w:rPr>
              <w:t>Defect rates, test coverage, SLA compliance</w:t>
            </w:r>
          </w:p>
        </w:tc>
        <w:tc>
          <w:tcPr>
            <w:tcW w:type="dxa" w:w="2351"/>
            <w:shd w:fill="F4F6FA" w:val="clear"/>
          </w:tcPr>
          <w:p>
            <w:r>
              <w:rPr>
                <w:sz w:val="20"/>
              </w:rPr>
              <w:t>Technical Leads, QA</w:t>
            </w:r>
          </w:p>
        </w:tc>
        <w:tc>
          <w:tcPr>
            <w:tcW w:type="dxa" w:w="2351"/>
            <w:shd w:fill="F4F6FA" w:val="clear"/>
          </w:tcPr>
          <w:p>
            <w:r>
              <w:rPr>
                <w:sz w:val="20"/>
              </w:rPr>
              <w:t>Weekly/Sprint</w:t>
            </w:r>
          </w:p>
        </w:tc>
      </w:tr>
      <w:tr>
        <w:tc>
          <w:tcPr>
            <w:tcW w:type="dxa" w:w="2351"/>
          </w:tcPr>
          <w:p>
            <w:r>
              <w:rPr>
                <w:sz w:val="20"/>
              </w:rPr>
              <w:t>Adoption</w:t>
            </w:r>
          </w:p>
        </w:tc>
        <w:tc>
          <w:tcPr>
            <w:tcW w:type="dxa" w:w="2351"/>
          </w:tcPr>
          <w:p>
            <w:r>
              <w:rPr>
                <w:sz w:val="20"/>
              </w:rPr>
              <w:t>User onboarding, feature utilization</w:t>
            </w:r>
          </w:p>
        </w:tc>
        <w:tc>
          <w:tcPr>
            <w:tcW w:type="dxa" w:w="2351"/>
          </w:tcPr>
          <w:p>
            <w:r>
              <w:rPr>
                <w:sz w:val="20"/>
              </w:rPr>
              <w:t>Business Sponsors, Change Mgmt</w:t>
            </w:r>
          </w:p>
        </w:tc>
        <w:tc>
          <w:tcPr>
            <w:tcW w:type="dxa" w:w="2351"/>
          </w:tcPr>
          <w:p>
            <w:r>
              <w:rPr>
                <w:sz w:val="20"/>
              </w:rPr>
              <w:t>Monthly</w:t>
            </w:r>
          </w:p>
        </w:tc>
      </w:tr>
      <w:tr>
        <w:tc>
          <w:tcPr>
            <w:tcW w:type="dxa" w:w="2351"/>
            <w:shd w:fill="F4F6FA" w:val="clear"/>
          </w:tcPr>
          <w:p>
            <w:r>
              <w:rPr>
                <w:sz w:val="20"/>
              </w:rPr>
              <w:t>Value</w:t>
            </w:r>
          </w:p>
        </w:tc>
        <w:tc>
          <w:tcPr>
            <w:tcW w:type="dxa" w:w="2351"/>
            <w:shd w:fill="F4F6FA" w:val="clear"/>
          </w:tcPr>
          <w:p>
            <w:r>
              <w:rPr>
                <w:sz w:val="20"/>
              </w:rPr>
              <w:t>ROI, cost savings, business outcomes</w:t>
            </w:r>
          </w:p>
        </w:tc>
        <w:tc>
          <w:tcPr>
            <w:tcW w:type="dxa" w:w="2351"/>
            <w:shd w:fill="F4F6FA" w:val="clear"/>
          </w:tcPr>
          <w:p>
            <w:r>
              <w:rPr>
                <w:sz w:val="20"/>
              </w:rPr>
              <w:t>Executive Sponsors, Finance</w:t>
            </w:r>
          </w:p>
        </w:tc>
        <w:tc>
          <w:tcPr>
            <w:tcW w:type="dxa" w:w="2351"/>
            <w:shd w:fill="F4F6FA" w:val="clear"/>
          </w:tcPr>
          <w:p>
            <w:r>
              <w:rPr>
                <w:sz w:val="20"/>
              </w:rPr>
              <w:t>Quarterly</w:t>
            </w:r>
          </w:p>
        </w:tc>
      </w:tr>
    </w:tbl>
    <w:p/>
    <w:p>
      <w:pPr>
        <w:pStyle w:val="Heading2"/>
      </w:pPr>
      <w:r>
        <w:t>1.2 KPI Maturity Model</w:t>
      </w:r>
    </w:p>
    <w:p>
      <w:r>
        <w:t>Programs should progress through three maturity levels of metrics adoption:</w:t>
      </w:r>
    </w:p>
    <w:p>
      <w:pPr>
        <w:pStyle w:val="ListNumber"/>
      </w:pPr>
      <w:r>
        <w:t>Level 1 (Foundation) - Track delivery and quality basics: schedule variance, defect counts, test pass rates.</w:t>
      </w:r>
    </w:p>
    <w:p>
      <w:pPr>
        <w:pStyle w:val="ListNumber"/>
      </w:pPr>
      <w:r>
        <w:t>Level 2 (Managed) - Add adoption and efficiency metrics: user onboarding velocity, pipeline throughput, IPU consumption trends.</w:t>
      </w:r>
    </w:p>
    <w:p>
      <w:pPr>
        <w:pStyle w:val="ListNumber"/>
      </w:pPr>
      <w:r>
        <w:t>Level 3 (Optimized) - Full value tracking with predictive analytics: time-to-value, cost-per-integration, ROI realization curves.</w:t>
      </w:r>
    </w:p>
    <w:p>
      <w:pPr>
        <w:shd w:fill="E8F5E9" w:val="clear"/>
        <w:pBdr>
          <w:top w:val="single" w:sz="4" w:space="4" w:color="4CAF50"/>
          <w:left w:val="single" w:sz="12" w:space="4" w:color="4CAF50"/>
          <w:right w:val="single" w:sz="4" w:space="4" w:color="4CAF50"/>
        </w:pBdr>
        <w:spacing w:after="0"/>
        <w:ind w:left="432" w:right="432"/>
      </w:pPr>
      <w:r>
        <w:rPr>
          <w:b/>
          <w:color w:val="4CAF50"/>
          <w:sz w:val="20"/>
        </w:rPr>
        <w:t xml:space="preserve">  BEST PRACTICE</w:t>
      </w:r>
    </w:p>
    <w:p>
      <w:pPr>
        <w:shd w:fill="E8F5E9" w:val="clear"/>
        <w:pBdr>
          <w:bottom w:val="single" w:sz="4" w:space="4" w:color="4CAF50"/>
          <w:left w:val="single" w:sz="12" w:space="4" w:color="4CAF50"/>
          <w:right w:val="single" w:sz="4" w:space="4" w:color="4CAF50"/>
        </w:pBdr>
        <w:spacing w:before="0"/>
        <w:ind w:left="432" w:right="432"/>
      </w:pPr>
      <w:r>
        <w:rPr>
          <w:color w:val="4B5563"/>
          <w:sz w:val="20"/>
        </w:rPr>
        <w:t xml:space="preserve">  Start with 8-10 core KPIs in Level 1. Avoid metric overload; each KPI must have a clear owner and action trigger.</w:t>
      </w:r>
    </w:p>
    <w:p/>
    <w:p>
      <w:r>
        <w:br w:type="page"/>
      </w:r>
    </w:p>
    <w:p>
      <w:pPr>
        <w:pStyle w:val="Heading1"/>
      </w:pPr>
      <w:r>
        <w:t>2. Delivery KPIs</w:t>
      </w:r>
    </w:p>
    <w:p>
      <w:r>
        <w:t>Delivery KPIs measure how well the program adheres to committed timelines, scope, and budget. These are the most commonly tracked metrics in steering committee reviews.</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KPI</w:t>
            </w:r>
          </w:p>
        </w:tc>
        <w:tc>
          <w:tcPr>
            <w:tcW w:type="dxa" w:w="2351"/>
            <w:shd w:fill="0C548A" w:val="clear"/>
          </w:tcPr>
          <w:p>
            <w:r>
              <w:rPr>
                <w:b/>
                <w:color w:val="FFFFFF"/>
                <w:sz w:val="20"/>
              </w:rPr>
              <w:t>Formula</w:t>
            </w:r>
          </w:p>
        </w:tc>
        <w:tc>
          <w:tcPr>
            <w:tcW w:type="dxa" w:w="2351"/>
            <w:shd w:fill="0C548A" w:val="clear"/>
          </w:tcPr>
          <w:p>
            <w:r>
              <w:rPr>
                <w:b/>
                <w:color w:val="FFFFFF"/>
                <w:sz w:val="20"/>
              </w:rPr>
              <w:t>Target</w:t>
            </w:r>
          </w:p>
        </w:tc>
        <w:tc>
          <w:tcPr>
            <w:tcW w:type="dxa" w:w="2351"/>
            <w:shd w:fill="0C548A" w:val="clear"/>
          </w:tcPr>
          <w:p>
            <w:r>
              <w:rPr>
                <w:b/>
                <w:color w:val="FFFFFF"/>
                <w:sz w:val="20"/>
              </w:rPr>
              <w:t>Source</w:t>
            </w:r>
          </w:p>
        </w:tc>
      </w:tr>
      <w:tr>
        <w:tc>
          <w:tcPr>
            <w:tcW w:type="dxa" w:w="2351"/>
          </w:tcPr>
          <w:p>
            <w:r>
              <w:rPr>
                <w:sz w:val="20"/>
              </w:rPr>
              <w:t>Schedule Performance Index (SPI)</w:t>
            </w:r>
          </w:p>
        </w:tc>
        <w:tc>
          <w:tcPr>
            <w:tcW w:type="dxa" w:w="2351"/>
          </w:tcPr>
          <w:p>
            <w:r>
              <w:rPr>
                <w:sz w:val="20"/>
              </w:rPr>
              <w:t>Earned Value / Planned Value</w:t>
            </w:r>
          </w:p>
        </w:tc>
        <w:tc>
          <w:tcPr>
            <w:tcW w:type="dxa" w:w="2351"/>
          </w:tcPr>
          <w:p>
            <w:r>
              <w:rPr>
                <w:sz w:val="20"/>
              </w:rPr>
              <w:t>&gt;= 0.95</w:t>
            </w:r>
          </w:p>
        </w:tc>
        <w:tc>
          <w:tcPr>
            <w:tcW w:type="dxa" w:w="2351"/>
          </w:tcPr>
          <w:p>
            <w:r>
              <w:rPr>
                <w:sz w:val="20"/>
              </w:rPr>
              <w:t>Project plan / Jira</w:t>
            </w:r>
          </w:p>
        </w:tc>
      </w:tr>
      <w:tr>
        <w:tc>
          <w:tcPr>
            <w:tcW w:type="dxa" w:w="2351"/>
            <w:shd w:fill="F4F6FA" w:val="clear"/>
          </w:tcPr>
          <w:p>
            <w:r>
              <w:rPr>
                <w:sz w:val="20"/>
              </w:rPr>
              <w:t>Cost Performance Index (CPI)</w:t>
            </w:r>
          </w:p>
        </w:tc>
        <w:tc>
          <w:tcPr>
            <w:tcW w:type="dxa" w:w="2351"/>
            <w:shd w:fill="F4F6FA" w:val="clear"/>
          </w:tcPr>
          <w:p>
            <w:r>
              <w:rPr>
                <w:sz w:val="20"/>
              </w:rPr>
              <w:t>Earned Value / Actual Cost</w:t>
            </w:r>
          </w:p>
        </w:tc>
        <w:tc>
          <w:tcPr>
            <w:tcW w:type="dxa" w:w="2351"/>
            <w:shd w:fill="F4F6FA" w:val="clear"/>
          </w:tcPr>
          <w:p>
            <w:r>
              <w:rPr>
                <w:sz w:val="20"/>
              </w:rPr>
              <w:t>&gt;= 0.95</w:t>
            </w:r>
          </w:p>
        </w:tc>
        <w:tc>
          <w:tcPr>
            <w:tcW w:type="dxa" w:w="2351"/>
            <w:shd w:fill="F4F6FA" w:val="clear"/>
          </w:tcPr>
          <w:p>
            <w:r>
              <w:rPr>
                <w:sz w:val="20"/>
              </w:rPr>
              <w:t>Financial tracker</w:t>
            </w:r>
          </w:p>
        </w:tc>
      </w:tr>
      <w:tr>
        <w:tc>
          <w:tcPr>
            <w:tcW w:type="dxa" w:w="2351"/>
          </w:tcPr>
          <w:p>
            <w:r>
              <w:rPr>
                <w:sz w:val="20"/>
              </w:rPr>
              <w:t>Sprint Velocity</w:t>
            </w:r>
          </w:p>
        </w:tc>
        <w:tc>
          <w:tcPr>
            <w:tcW w:type="dxa" w:w="2351"/>
          </w:tcPr>
          <w:p>
            <w:r>
              <w:rPr>
                <w:sz w:val="20"/>
              </w:rPr>
              <w:t>Story points completed per sprint</w:t>
            </w:r>
          </w:p>
        </w:tc>
        <w:tc>
          <w:tcPr>
            <w:tcW w:type="dxa" w:w="2351"/>
          </w:tcPr>
          <w:p>
            <w:r>
              <w:rPr>
                <w:sz w:val="20"/>
              </w:rPr>
              <w:t>Within 10% of avg</w:t>
            </w:r>
          </w:p>
        </w:tc>
        <w:tc>
          <w:tcPr>
            <w:tcW w:type="dxa" w:w="2351"/>
          </w:tcPr>
          <w:p>
            <w:r>
              <w:rPr>
                <w:sz w:val="20"/>
              </w:rPr>
              <w:t>Jira / ADO</w:t>
            </w:r>
          </w:p>
        </w:tc>
      </w:tr>
      <w:tr>
        <w:tc>
          <w:tcPr>
            <w:tcW w:type="dxa" w:w="2351"/>
            <w:shd w:fill="F4F6FA" w:val="clear"/>
          </w:tcPr>
          <w:p>
            <w:r>
              <w:rPr>
                <w:sz w:val="20"/>
              </w:rPr>
              <w:t>Milestone Completion Rate</w:t>
            </w:r>
          </w:p>
        </w:tc>
        <w:tc>
          <w:tcPr>
            <w:tcW w:type="dxa" w:w="2351"/>
            <w:shd w:fill="F4F6FA" w:val="clear"/>
          </w:tcPr>
          <w:p>
            <w:r>
              <w:rPr>
                <w:sz w:val="20"/>
              </w:rPr>
              <w:t>Milestones on-time / Total milestones</w:t>
            </w:r>
          </w:p>
        </w:tc>
        <w:tc>
          <w:tcPr>
            <w:tcW w:type="dxa" w:w="2351"/>
            <w:shd w:fill="F4F6FA" w:val="clear"/>
          </w:tcPr>
          <w:p>
            <w:r>
              <w:rPr>
                <w:sz w:val="20"/>
              </w:rPr>
              <w:t>&gt;= 90%</w:t>
            </w:r>
          </w:p>
        </w:tc>
        <w:tc>
          <w:tcPr>
            <w:tcW w:type="dxa" w:w="2351"/>
            <w:shd w:fill="F4F6FA" w:val="clear"/>
          </w:tcPr>
          <w:p>
            <w:r>
              <w:rPr>
                <w:sz w:val="20"/>
              </w:rPr>
              <w:t>Project plan</w:t>
            </w:r>
          </w:p>
        </w:tc>
      </w:tr>
      <w:tr>
        <w:tc>
          <w:tcPr>
            <w:tcW w:type="dxa" w:w="2351"/>
          </w:tcPr>
          <w:p>
            <w:r>
              <w:rPr>
                <w:sz w:val="20"/>
              </w:rPr>
              <w:t>Scope Change Rate</w:t>
            </w:r>
          </w:p>
        </w:tc>
        <w:tc>
          <w:tcPr>
            <w:tcW w:type="dxa" w:w="2351"/>
          </w:tcPr>
          <w:p>
            <w:r>
              <w:rPr>
                <w:sz w:val="20"/>
              </w:rPr>
              <w:t>Approved CRs / Original scope items</w:t>
            </w:r>
          </w:p>
        </w:tc>
        <w:tc>
          <w:tcPr>
            <w:tcW w:type="dxa" w:w="2351"/>
          </w:tcPr>
          <w:p>
            <w:r>
              <w:rPr>
                <w:sz w:val="20"/>
              </w:rPr>
              <w:t>&lt; 15%</w:t>
            </w:r>
          </w:p>
        </w:tc>
        <w:tc>
          <w:tcPr>
            <w:tcW w:type="dxa" w:w="2351"/>
          </w:tcPr>
          <w:p>
            <w:r>
              <w:rPr>
                <w:sz w:val="20"/>
              </w:rPr>
              <w:t>Change log</w:t>
            </w:r>
          </w:p>
        </w:tc>
      </w:tr>
      <w:tr>
        <w:tc>
          <w:tcPr>
            <w:tcW w:type="dxa" w:w="2351"/>
            <w:shd w:fill="F4F6FA" w:val="clear"/>
          </w:tcPr>
          <w:p>
            <w:r>
              <w:rPr>
                <w:sz w:val="20"/>
              </w:rPr>
              <w:t>Resource Utilization</w:t>
            </w:r>
          </w:p>
        </w:tc>
        <w:tc>
          <w:tcPr>
            <w:tcW w:type="dxa" w:w="2351"/>
            <w:shd w:fill="F4F6FA" w:val="clear"/>
          </w:tcPr>
          <w:p>
            <w:r>
              <w:rPr>
                <w:sz w:val="20"/>
              </w:rPr>
              <w:t>Billable hours / Available hours</w:t>
            </w:r>
          </w:p>
        </w:tc>
        <w:tc>
          <w:tcPr>
            <w:tcW w:type="dxa" w:w="2351"/>
            <w:shd w:fill="F4F6FA" w:val="clear"/>
          </w:tcPr>
          <w:p>
            <w:r>
              <w:rPr>
                <w:sz w:val="20"/>
              </w:rPr>
              <w:t>80-90%</w:t>
            </w:r>
          </w:p>
        </w:tc>
        <w:tc>
          <w:tcPr>
            <w:tcW w:type="dxa" w:w="2351"/>
            <w:shd w:fill="F4F6FA" w:val="clear"/>
          </w:tcPr>
          <w:p>
            <w:r>
              <w:rPr>
                <w:sz w:val="20"/>
              </w:rPr>
              <w:t>Timesheet system</w:t>
            </w:r>
          </w:p>
        </w:tc>
      </w:tr>
    </w:tbl>
    <w:p/>
    <w:p>
      <w:pPr>
        <w:pStyle w:val="Heading2"/>
      </w:pPr>
      <w:r>
        <w:t>2.1 Schedule Variance Tracking</w:t>
      </w:r>
    </w:p>
    <w:p>
      <w:r>
        <w:t>Track schedule variance at both the milestone and task level. A negative SV indicates the program is behind schedule. Aggregate SV by workstream to identify bottlenecks.</w:t>
      </w:r>
    </w:p>
    <w:p>
      <w:pPr>
        <w:pStyle w:val="ListBullet"/>
      </w:pPr>
      <w:r>
        <w:t>Green: SPI &gt;= 0.95 and all critical-path milestones on track</w:t>
      </w:r>
    </w:p>
    <w:p>
      <w:pPr>
        <w:pStyle w:val="ListBullet"/>
      </w:pPr>
      <w:r>
        <w:t>Amber: SPI 0.85-0.94 or one critical-path milestone at risk</w:t>
      </w:r>
    </w:p>
    <w:p>
      <w:pPr>
        <w:pStyle w:val="ListBullet"/>
      </w:pPr>
      <w:r>
        <w:t>Red: SPI &lt; 0.85 or critical-path milestone missed</w:t>
      </w:r>
    </w:p>
    <w:p>
      <w:r>
        <w:br w:type="page"/>
      </w:r>
    </w:p>
    <w:p>
      <w:pPr>
        <w:pStyle w:val="Heading1"/>
      </w:pPr>
      <w:r>
        <w:t>3. Quality KPIs</w:t>
      </w:r>
    </w:p>
    <w:p>
      <w:r>
        <w:t>Quality KPIs ensure that delivered integrations, mappings, and data assets meet defined standards and pass validation gates before promotion to production.</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KPI</w:t>
            </w:r>
          </w:p>
        </w:tc>
        <w:tc>
          <w:tcPr>
            <w:tcW w:type="dxa" w:w="2351"/>
            <w:shd w:fill="0C548A" w:val="clear"/>
          </w:tcPr>
          <w:p>
            <w:r>
              <w:rPr>
                <w:b/>
                <w:color w:val="FFFFFF"/>
                <w:sz w:val="20"/>
              </w:rPr>
              <w:t>Formula</w:t>
            </w:r>
          </w:p>
        </w:tc>
        <w:tc>
          <w:tcPr>
            <w:tcW w:type="dxa" w:w="2351"/>
            <w:shd w:fill="0C548A" w:val="clear"/>
          </w:tcPr>
          <w:p>
            <w:r>
              <w:rPr>
                <w:b/>
                <w:color w:val="FFFFFF"/>
                <w:sz w:val="20"/>
              </w:rPr>
              <w:t>Target</w:t>
            </w:r>
          </w:p>
        </w:tc>
        <w:tc>
          <w:tcPr>
            <w:tcW w:type="dxa" w:w="2351"/>
            <w:shd w:fill="0C548A" w:val="clear"/>
          </w:tcPr>
          <w:p>
            <w:r>
              <w:rPr>
                <w:b/>
                <w:color w:val="FFFFFF"/>
                <w:sz w:val="20"/>
              </w:rPr>
              <w:t>Source</w:t>
            </w:r>
          </w:p>
        </w:tc>
      </w:tr>
      <w:tr>
        <w:tc>
          <w:tcPr>
            <w:tcW w:type="dxa" w:w="2351"/>
          </w:tcPr>
          <w:p>
            <w:r>
              <w:rPr>
                <w:sz w:val="20"/>
              </w:rPr>
              <w:t>Defect Density</w:t>
            </w:r>
          </w:p>
        </w:tc>
        <w:tc>
          <w:tcPr>
            <w:tcW w:type="dxa" w:w="2351"/>
          </w:tcPr>
          <w:p>
            <w:r>
              <w:rPr>
                <w:sz w:val="20"/>
              </w:rPr>
              <w:t>Defects found / Mappings delivered</w:t>
            </w:r>
          </w:p>
        </w:tc>
        <w:tc>
          <w:tcPr>
            <w:tcW w:type="dxa" w:w="2351"/>
          </w:tcPr>
          <w:p>
            <w:r>
              <w:rPr>
                <w:sz w:val="20"/>
              </w:rPr>
              <w:t>&lt; 0.3 per mapping</w:t>
            </w:r>
          </w:p>
        </w:tc>
        <w:tc>
          <w:tcPr>
            <w:tcW w:type="dxa" w:w="2351"/>
          </w:tcPr>
          <w:p>
            <w:r>
              <w:rPr>
                <w:sz w:val="20"/>
              </w:rPr>
              <w:t>Defect tracker</w:t>
            </w:r>
          </w:p>
        </w:tc>
      </w:tr>
      <w:tr>
        <w:tc>
          <w:tcPr>
            <w:tcW w:type="dxa" w:w="2351"/>
            <w:shd w:fill="F4F6FA" w:val="clear"/>
          </w:tcPr>
          <w:p>
            <w:r>
              <w:rPr>
                <w:sz w:val="20"/>
              </w:rPr>
              <w:t>Test Pass Rate</w:t>
            </w:r>
          </w:p>
        </w:tc>
        <w:tc>
          <w:tcPr>
            <w:tcW w:type="dxa" w:w="2351"/>
            <w:shd w:fill="F4F6FA" w:val="clear"/>
          </w:tcPr>
          <w:p>
            <w:r>
              <w:rPr>
                <w:sz w:val="20"/>
              </w:rPr>
              <w:t>Tests passed / Tests executed</w:t>
            </w:r>
          </w:p>
        </w:tc>
        <w:tc>
          <w:tcPr>
            <w:tcW w:type="dxa" w:w="2351"/>
            <w:shd w:fill="F4F6FA" w:val="clear"/>
          </w:tcPr>
          <w:p>
            <w:r>
              <w:rPr>
                <w:sz w:val="20"/>
              </w:rPr>
              <w:t>&gt;= 95%</w:t>
            </w:r>
          </w:p>
        </w:tc>
        <w:tc>
          <w:tcPr>
            <w:tcW w:type="dxa" w:w="2351"/>
            <w:shd w:fill="F4F6FA" w:val="clear"/>
          </w:tcPr>
          <w:p>
            <w:r>
              <w:rPr>
                <w:sz w:val="20"/>
              </w:rPr>
              <w:t>Test management tool</w:t>
            </w:r>
          </w:p>
        </w:tc>
      </w:tr>
      <w:tr>
        <w:tc>
          <w:tcPr>
            <w:tcW w:type="dxa" w:w="2351"/>
          </w:tcPr>
          <w:p>
            <w:r>
              <w:rPr>
                <w:sz w:val="20"/>
              </w:rPr>
              <w:t>Code Review Coverage</w:t>
            </w:r>
          </w:p>
        </w:tc>
        <w:tc>
          <w:tcPr>
            <w:tcW w:type="dxa" w:w="2351"/>
          </w:tcPr>
          <w:p>
            <w:r>
              <w:rPr>
                <w:sz w:val="20"/>
              </w:rPr>
              <w:t>Reviewed assets / Total assets</w:t>
            </w:r>
          </w:p>
        </w:tc>
        <w:tc>
          <w:tcPr>
            <w:tcW w:type="dxa" w:w="2351"/>
          </w:tcPr>
          <w:p>
            <w:r>
              <w:rPr>
                <w:sz w:val="20"/>
              </w:rPr>
              <w:t>100%</w:t>
            </w:r>
          </w:p>
        </w:tc>
        <w:tc>
          <w:tcPr>
            <w:tcW w:type="dxa" w:w="2351"/>
          </w:tcPr>
          <w:p>
            <w:r>
              <w:rPr>
                <w:sz w:val="20"/>
              </w:rPr>
              <w:t>Git / review tool</w:t>
            </w:r>
          </w:p>
        </w:tc>
      </w:tr>
      <w:tr>
        <w:tc>
          <w:tcPr>
            <w:tcW w:type="dxa" w:w="2351"/>
            <w:shd w:fill="F4F6FA" w:val="clear"/>
          </w:tcPr>
          <w:p>
            <w:r>
              <w:rPr>
                <w:sz w:val="20"/>
              </w:rPr>
              <w:t>Production Incident Rate</w:t>
            </w:r>
          </w:p>
        </w:tc>
        <w:tc>
          <w:tcPr>
            <w:tcW w:type="dxa" w:w="2351"/>
            <w:shd w:fill="F4F6FA" w:val="clear"/>
          </w:tcPr>
          <w:p>
            <w:r>
              <w:rPr>
                <w:sz w:val="20"/>
              </w:rPr>
              <w:t>P1-P2 incidents / Month</w:t>
            </w:r>
          </w:p>
        </w:tc>
        <w:tc>
          <w:tcPr>
            <w:tcW w:type="dxa" w:w="2351"/>
            <w:shd w:fill="F4F6FA" w:val="clear"/>
          </w:tcPr>
          <w:p>
            <w:r>
              <w:rPr>
                <w:sz w:val="20"/>
              </w:rPr>
              <w:t>&lt; 2 per month</w:t>
            </w:r>
          </w:p>
        </w:tc>
        <w:tc>
          <w:tcPr>
            <w:tcW w:type="dxa" w:w="2351"/>
            <w:shd w:fill="F4F6FA" w:val="clear"/>
          </w:tcPr>
          <w:p>
            <w:r>
              <w:rPr>
                <w:sz w:val="20"/>
              </w:rPr>
              <w:t>ITSM tool</w:t>
            </w:r>
          </w:p>
        </w:tc>
      </w:tr>
      <w:tr>
        <w:tc>
          <w:tcPr>
            <w:tcW w:type="dxa" w:w="2351"/>
          </w:tcPr>
          <w:p>
            <w:r>
              <w:rPr>
                <w:sz w:val="20"/>
              </w:rPr>
              <w:t>First-Time Pass Rate</w:t>
            </w:r>
          </w:p>
        </w:tc>
        <w:tc>
          <w:tcPr>
            <w:tcW w:type="dxa" w:w="2351"/>
          </w:tcPr>
          <w:p>
            <w:r>
              <w:rPr>
                <w:sz w:val="20"/>
              </w:rPr>
              <w:t>Deployments without rollback / Total</w:t>
            </w:r>
          </w:p>
        </w:tc>
        <w:tc>
          <w:tcPr>
            <w:tcW w:type="dxa" w:w="2351"/>
          </w:tcPr>
          <w:p>
            <w:r>
              <w:rPr>
                <w:sz w:val="20"/>
              </w:rPr>
              <w:t>&gt;= 90%</w:t>
            </w:r>
          </w:p>
        </w:tc>
        <w:tc>
          <w:tcPr>
            <w:tcW w:type="dxa" w:w="2351"/>
          </w:tcPr>
          <w:p>
            <w:r>
              <w:rPr>
                <w:sz w:val="20"/>
              </w:rPr>
              <w:t>CI/CD pipeline</w:t>
            </w:r>
          </w:p>
        </w:tc>
      </w:tr>
      <w:tr>
        <w:tc>
          <w:tcPr>
            <w:tcW w:type="dxa" w:w="2351"/>
            <w:shd w:fill="F4F6FA" w:val="clear"/>
          </w:tcPr>
          <w:p>
            <w:r>
              <w:rPr>
                <w:sz w:val="20"/>
              </w:rPr>
              <w:t>Data Validation Score</w:t>
            </w:r>
          </w:p>
        </w:tc>
        <w:tc>
          <w:tcPr>
            <w:tcW w:type="dxa" w:w="2351"/>
            <w:shd w:fill="F4F6FA" w:val="clear"/>
          </w:tcPr>
          <w:p>
            <w:r>
              <w:rPr>
                <w:sz w:val="20"/>
              </w:rPr>
              <w:t>Clean records / Total records processed</w:t>
            </w:r>
          </w:p>
        </w:tc>
        <w:tc>
          <w:tcPr>
            <w:tcW w:type="dxa" w:w="2351"/>
            <w:shd w:fill="F4F6FA" w:val="clear"/>
          </w:tcPr>
          <w:p>
            <w:r>
              <w:rPr>
                <w:sz w:val="20"/>
              </w:rPr>
              <w:t>&gt;= 99.5%</w:t>
            </w:r>
          </w:p>
        </w:tc>
        <w:tc>
          <w:tcPr>
            <w:tcW w:type="dxa" w:w="2351"/>
            <w:shd w:fill="F4F6FA" w:val="clear"/>
          </w:tcPr>
          <w:p>
            <w:r>
              <w:rPr>
                <w:sz w:val="20"/>
              </w:rPr>
              <w:t>IDMC monitoring</w:t>
            </w:r>
          </w:p>
        </w:tc>
      </w:tr>
    </w:tbl>
    <w:p/>
    <w:p>
      <w:pPr>
        <w:shd w:fill="FFF3E0" w:val="clear"/>
        <w:pBdr>
          <w:top w:val="single" w:sz="4" w:space="4" w:color="FF9800"/>
          <w:left w:val="single" w:sz="12" w:space="4" w:color="FF9800"/>
          <w:right w:val="single" w:sz="4" w:space="4" w:color="FF9800"/>
        </w:pBdr>
        <w:spacing w:after="0"/>
        <w:ind w:left="432" w:right="432"/>
      </w:pPr>
      <w:r>
        <w:rPr>
          <w:b/>
          <w:color w:val="FF9800"/>
          <w:sz w:val="20"/>
        </w:rPr>
        <w:t xml:space="preserve">  WARNING</w:t>
      </w:r>
    </w:p>
    <w:p>
      <w:pPr>
        <w:shd w:fill="FFF3E0" w:val="clear"/>
        <w:pBdr>
          <w:bottom w:val="single" w:sz="4" w:space="4" w:color="FF9800"/>
          <w:left w:val="single" w:sz="12" w:space="4" w:color="FF9800"/>
          <w:right w:val="single" w:sz="4" w:space="4" w:color="FF9800"/>
        </w:pBdr>
        <w:spacing w:before="0"/>
        <w:ind w:left="432" w:right="432"/>
      </w:pPr>
      <w:r>
        <w:rPr>
          <w:color w:val="4B5563"/>
          <w:sz w:val="20"/>
        </w:rPr>
        <w:t xml:space="preserve">  Quality KPIs must be baselined during the first two sprints. Setting unrealistic targets leads to gaming metrics rather than genuine quality improvement.</w:t>
      </w:r>
    </w:p>
    <w:p/>
    <w:p>
      <w:r>
        <w:br w:type="page"/>
      </w:r>
    </w:p>
    <w:p>
      <w:pPr>
        <w:pStyle w:val="Heading1"/>
      </w:pPr>
      <w:r>
        <w:t>4. Adoption KPIs</w:t>
      </w:r>
    </w:p>
    <w:p>
      <w:r>
        <w:t>Adoption KPIs measure how effectively stakeholders and end users embrace the Informatica platform, features, and new processes introduced by the program.</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KPI</w:t>
            </w:r>
          </w:p>
        </w:tc>
        <w:tc>
          <w:tcPr>
            <w:tcW w:type="dxa" w:w="2351"/>
            <w:shd w:fill="0C548A" w:val="clear"/>
          </w:tcPr>
          <w:p>
            <w:r>
              <w:rPr>
                <w:b/>
                <w:color w:val="FFFFFF"/>
                <w:sz w:val="20"/>
              </w:rPr>
              <w:t>Formula</w:t>
            </w:r>
          </w:p>
        </w:tc>
        <w:tc>
          <w:tcPr>
            <w:tcW w:type="dxa" w:w="2351"/>
            <w:shd w:fill="0C548A" w:val="clear"/>
          </w:tcPr>
          <w:p>
            <w:r>
              <w:rPr>
                <w:b/>
                <w:color w:val="FFFFFF"/>
                <w:sz w:val="20"/>
              </w:rPr>
              <w:t>Target</w:t>
            </w:r>
          </w:p>
        </w:tc>
        <w:tc>
          <w:tcPr>
            <w:tcW w:type="dxa" w:w="2351"/>
            <w:shd w:fill="0C548A" w:val="clear"/>
          </w:tcPr>
          <w:p>
            <w:r>
              <w:rPr>
                <w:b/>
                <w:color w:val="FFFFFF"/>
                <w:sz w:val="20"/>
              </w:rPr>
              <w:t>Source</w:t>
            </w:r>
          </w:p>
        </w:tc>
      </w:tr>
      <w:tr>
        <w:tc>
          <w:tcPr>
            <w:tcW w:type="dxa" w:w="2351"/>
          </w:tcPr>
          <w:p>
            <w:r>
              <w:rPr>
                <w:sz w:val="20"/>
              </w:rPr>
              <w:t>User Onboarding Rate</w:t>
            </w:r>
          </w:p>
        </w:tc>
        <w:tc>
          <w:tcPr>
            <w:tcW w:type="dxa" w:w="2351"/>
          </w:tcPr>
          <w:p>
            <w:r>
              <w:rPr>
                <w:sz w:val="20"/>
              </w:rPr>
              <w:t>Active users / Licensed users</w:t>
            </w:r>
          </w:p>
        </w:tc>
        <w:tc>
          <w:tcPr>
            <w:tcW w:type="dxa" w:w="2351"/>
          </w:tcPr>
          <w:p>
            <w:r>
              <w:rPr>
                <w:sz w:val="20"/>
              </w:rPr>
              <w:t>&gt;= 80% by Go-Live +60d</w:t>
            </w:r>
          </w:p>
        </w:tc>
        <w:tc>
          <w:tcPr>
            <w:tcW w:type="dxa" w:w="2351"/>
          </w:tcPr>
          <w:p>
            <w:r>
              <w:rPr>
                <w:sz w:val="20"/>
              </w:rPr>
              <w:t>IDMC admin console</w:t>
            </w:r>
          </w:p>
        </w:tc>
      </w:tr>
      <w:tr>
        <w:tc>
          <w:tcPr>
            <w:tcW w:type="dxa" w:w="2351"/>
            <w:shd w:fill="F4F6FA" w:val="clear"/>
          </w:tcPr>
          <w:p>
            <w:r>
              <w:rPr>
                <w:sz w:val="20"/>
              </w:rPr>
              <w:t>Feature Utilization</w:t>
            </w:r>
          </w:p>
        </w:tc>
        <w:tc>
          <w:tcPr>
            <w:tcW w:type="dxa" w:w="2351"/>
            <w:shd w:fill="F4F6FA" w:val="clear"/>
          </w:tcPr>
          <w:p>
            <w:r>
              <w:rPr>
                <w:sz w:val="20"/>
              </w:rPr>
              <w:t>Features used / Features available</w:t>
            </w:r>
          </w:p>
        </w:tc>
        <w:tc>
          <w:tcPr>
            <w:tcW w:type="dxa" w:w="2351"/>
            <w:shd w:fill="F4F6FA" w:val="clear"/>
          </w:tcPr>
          <w:p>
            <w:r>
              <w:rPr>
                <w:sz w:val="20"/>
              </w:rPr>
              <w:t>&gt;= 60%</w:t>
            </w:r>
          </w:p>
        </w:tc>
        <w:tc>
          <w:tcPr>
            <w:tcW w:type="dxa" w:w="2351"/>
            <w:shd w:fill="F4F6FA" w:val="clear"/>
          </w:tcPr>
          <w:p>
            <w:r>
              <w:rPr>
                <w:sz w:val="20"/>
              </w:rPr>
              <w:t>IDMC usage analytics</w:t>
            </w:r>
          </w:p>
        </w:tc>
      </w:tr>
      <w:tr>
        <w:tc>
          <w:tcPr>
            <w:tcW w:type="dxa" w:w="2351"/>
          </w:tcPr>
          <w:p>
            <w:r>
              <w:rPr>
                <w:sz w:val="20"/>
              </w:rPr>
              <w:t>Training Completion</w:t>
            </w:r>
          </w:p>
        </w:tc>
        <w:tc>
          <w:tcPr>
            <w:tcW w:type="dxa" w:w="2351"/>
          </w:tcPr>
          <w:p>
            <w:r>
              <w:rPr>
                <w:sz w:val="20"/>
              </w:rPr>
              <w:t>Users trained / Target audience</w:t>
            </w:r>
          </w:p>
        </w:tc>
        <w:tc>
          <w:tcPr>
            <w:tcW w:type="dxa" w:w="2351"/>
          </w:tcPr>
          <w:p>
            <w:r>
              <w:rPr>
                <w:sz w:val="20"/>
              </w:rPr>
              <w:t>&gt;= 95%</w:t>
            </w:r>
          </w:p>
        </w:tc>
        <w:tc>
          <w:tcPr>
            <w:tcW w:type="dxa" w:w="2351"/>
          </w:tcPr>
          <w:p>
            <w:r>
              <w:rPr>
                <w:sz w:val="20"/>
              </w:rPr>
              <w:t>LMS / training tracker</w:t>
            </w:r>
          </w:p>
        </w:tc>
      </w:tr>
      <w:tr>
        <w:tc>
          <w:tcPr>
            <w:tcW w:type="dxa" w:w="2351"/>
            <w:shd w:fill="F4F6FA" w:val="clear"/>
          </w:tcPr>
          <w:p>
            <w:r>
              <w:rPr>
                <w:sz w:val="20"/>
              </w:rPr>
              <w:t>Self-Service Ratio</w:t>
            </w:r>
          </w:p>
        </w:tc>
        <w:tc>
          <w:tcPr>
            <w:tcW w:type="dxa" w:w="2351"/>
            <w:shd w:fill="F4F6FA" w:val="clear"/>
          </w:tcPr>
          <w:p>
            <w:r>
              <w:rPr>
                <w:sz w:val="20"/>
              </w:rPr>
              <w:t>Self-service tasks / Total tasks</w:t>
            </w:r>
          </w:p>
        </w:tc>
        <w:tc>
          <w:tcPr>
            <w:tcW w:type="dxa" w:w="2351"/>
            <w:shd w:fill="F4F6FA" w:val="clear"/>
          </w:tcPr>
          <w:p>
            <w:r>
              <w:rPr>
                <w:sz w:val="20"/>
              </w:rPr>
              <w:t>&gt;= 40% by Year 1</w:t>
            </w:r>
          </w:p>
        </w:tc>
        <w:tc>
          <w:tcPr>
            <w:tcW w:type="dxa" w:w="2351"/>
            <w:shd w:fill="F4F6FA" w:val="clear"/>
          </w:tcPr>
          <w:p>
            <w:r>
              <w:rPr>
                <w:sz w:val="20"/>
              </w:rPr>
              <w:t>Service desk</w:t>
            </w:r>
          </w:p>
        </w:tc>
      </w:tr>
      <w:tr>
        <w:tc>
          <w:tcPr>
            <w:tcW w:type="dxa" w:w="2351"/>
          </w:tcPr>
          <w:p>
            <w:r>
              <w:rPr>
                <w:sz w:val="20"/>
              </w:rPr>
              <w:t>Support Ticket Trend</w:t>
            </w:r>
          </w:p>
        </w:tc>
        <w:tc>
          <w:tcPr>
            <w:tcW w:type="dxa" w:w="2351"/>
          </w:tcPr>
          <w:p>
            <w:r>
              <w:rPr>
                <w:sz w:val="20"/>
              </w:rPr>
              <w:t>Monthly ticket volume (declining)</w:t>
            </w:r>
          </w:p>
        </w:tc>
        <w:tc>
          <w:tcPr>
            <w:tcW w:type="dxa" w:w="2351"/>
          </w:tcPr>
          <w:p>
            <w:r>
              <w:rPr>
                <w:sz w:val="20"/>
              </w:rPr>
              <w:t>20% reduction QoQ</w:t>
            </w:r>
          </w:p>
        </w:tc>
        <w:tc>
          <w:tcPr>
            <w:tcW w:type="dxa" w:w="2351"/>
          </w:tcPr>
          <w:p>
            <w:r>
              <w:rPr>
                <w:sz w:val="20"/>
              </w:rPr>
              <w:t>ITSM tool</w:t>
            </w:r>
          </w:p>
        </w:tc>
      </w:tr>
    </w:tbl>
    <w:p/>
    <w:p>
      <w:pPr>
        <w:pStyle w:val="Heading2"/>
      </w:pPr>
      <w:r>
        <w:t>4.1 Adoption Curve Benchmarks</w:t>
      </w:r>
    </w:p>
    <w:p>
      <w:r>
        <w:t>Typical IDMC adoption follows a phased curve. The first 90 days post go-live are critical for establishing usage patterns. Plan hypercare support and targeted communication to drive adoption during this window.</w:t>
      </w:r>
    </w:p>
    <w:p>
      <w:r>
        <w:br w:type="page"/>
      </w:r>
    </w:p>
    <w:p>
      <w:pPr>
        <w:pStyle w:val="Heading1"/>
      </w:pPr>
      <w:r>
        <w:t>5. Value Realization KPIs</w:t>
      </w:r>
    </w:p>
    <w:p>
      <w:r>
        <w:t>Value KPIs connect program outputs to business outcomes. These are the ultimate measures of program success and are typically reviewed quarterly with executive sponsors.</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KPI</w:t>
            </w:r>
          </w:p>
        </w:tc>
        <w:tc>
          <w:tcPr>
            <w:tcW w:type="dxa" w:w="2351"/>
            <w:shd w:fill="0C548A" w:val="clear"/>
          </w:tcPr>
          <w:p>
            <w:r>
              <w:rPr>
                <w:b/>
                <w:color w:val="FFFFFF"/>
                <w:sz w:val="20"/>
              </w:rPr>
              <w:t>Formula</w:t>
            </w:r>
          </w:p>
        </w:tc>
        <w:tc>
          <w:tcPr>
            <w:tcW w:type="dxa" w:w="2351"/>
            <w:shd w:fill="0C548A" w:val="clear"/>
          </w:tcPr>
          <w:p>
            <w:r>
              <w:rPr>
                <w:b/>
                <w:color w:val="FFFFFF"/>
                <w:sz w:val="20"/>
              </w:rPr>
              <w:t>Target</w:t>
            </w:r>
          </w:p>
        </w:tc>
        <w:tc>
          <w:tcPr>
            <w:tcW w:type="dxa" w:w="2351"/>
            <w:shd w:fill="0C548A" w:val="clear"/>
          </w:tcPr>
          <w:p>
            <w:r>
              <w:rPr>
                <w:b/>
                <w:color w:val="FFFFFF"/>
                <w:sz w:val="20"/>
              </w:rPr>
              <w:t>Source</w:t>
            </w:r>
          </w:p>
        </w:tc>
      </w:tr>
      <w:tr>
        <w:tc>
          <w:tcPr>
            <w:tcW w:type="dxa" w:w="2351"/>
          </w:tcPr>
          <w:p>
            <w:r>
              <w:rPr>
                <w:sz w:val="20"/>
              </w:rPr>
              <w:t>Cost Savings Realized</w:t>
            </w:r>
          </w:p>
        </w:tc>
        <w:tc>
          <w:tcPr>
            <w:tcW w:type="dxa" w:w="2351"/>
          </w:tcPr>
          <w:p>
            <w:r>
              <w:rPr>
                <w:sz w:val="20"/>
              </w:rPr>
              <w:t>Manual cost avoided via automation</w:t>
            </w:r>
          </w:p>
        </w:tc>
        <w:tc>
          <w:tcPr>
            <w:tcW w:type="dxa" w:w="2351"/>
          </w:tcPr>
          <w:p>
            <w:r>
              <w:rPr>
                <w:sz w:val="20"/>
              </w:rPr>
              <w:t>Per business case</w:t>
            </w:r>
          </w:p>
        </w:tc>
        <w:tc>
          <w:tcPr>
            <w:tcW w:type="dxa" w:w="2351"/>
          </w:tcPr>
          <w:p>
            <w:r>
              <w:rPr>
                <w:sz w:val="20"/>
              </w:rPr>
              <w:t>Finance</w:t>
            </w:r>
          </w:p>
        </w:tc>
      </w:tr>
      <w:tr>
        <w:tc>
          <w:tcPr>
            <w:tcW w:type="dxa" w:w="2351"/>
            <w:shd w:fill="F4F6FA" w:val="clear"/>
          </w:tcPr>
          <w:p>
            <w:r>
              <w:rPr>
                <w:sz w:val="20"/>
              </w:rPr>
              <w:t>Time Saved (FTE hours)</w:t>
            </w:r>
          </w:p>
        </w:tc>
        <w:tc>
          <w:tcPr>
            <w:tcW w:type="dxa" w:w="2351"/>
            <w:shd w:fill="F4F6FA" w:val="clear"/>
          </w:tcPr>
          <w:p>
            <w:r>
              <w:rPr>
                <w:sz w:val="20"/>
              </w:rPr>
              <w:t>Hrs/month saved by automation</w:t>
            </w:r>
          </w:p>
        </w:tc>
        <w:tc>
          <w:tcPr>
            <w:tcW w:type="dxa" w:w="2351"/>
            <w:shd w:fill="F4F6FA" w:val="clear"/>
          </w:tcPr>
          <w:p>
            <w:r>
              <w:rPr>
                <w:sz w:val="20"/>
              </w:rPr>
              <w:t>Per business case</w:t>
            </w:r>
          </w:p>
        </w:tc>
        <w:tc>
          <w:tcPr>
            <w:tcW w:type="dxa" w:w="2351"/>
            <w:shd w:fill="F4F6FA" w:val="clear"/>
          </w:tcPr>
          <w:p>
            <w:r>
              <w:rPr>
                <w:sz w:val="20"/>
              </w:rPr>
              <w:t>Process analysis</w:t>
            </w:r>
          </w:p>
        </w:tc>
      </w:tr>
      <w:tr>
        <w:tc>
          <w:tcPr>
            <w:tcW w:type="dxa" w:w="2351"/>
          </w:tcPr>
          <w:p>
            <w:r>
              <w:rPr>
                <w:sz w:val="20"/>
              </w:rPr>
              <w:t>Data Availability SLA</w:t>
            </w:r>
          </w:p>
        </w:tc>
        <w:tc>
          <w:tcPr>
            <w:tcW w:type="dxa" w:w="2351"/>
          </w:tcPr>
          <w:p>
            <w:r>
              <w:rPr>
                <w:sz w:val="20"/>
              </w:rPr>
              <w:t>Uptime of critical data pipelines</w:t>
            </w:r>
          </w:p>
        </w:tc>
        <w:tc>
          <w:tcPr>
            <w:tcW w:type="dxa" w:w="2351"/>
          </w:tcPr>
          <w:p>
            <w:r>
              <w:rPr>
                <w:sz w:val="20"/>
              </w:rPr>
              <w:t>&gt;= 99.5%</w:t>
            </w:r>
          </w:p>
        </w:tc>
        <w:tc>
          <w:tcPr>
            <w:tcW w:type="dxa" w:w="2351"/>
          </w:tcPr>
          <w:p>
            <w:r>
              <w:rPr>
                <w:sz w:val="20"/>
              </w:rPr>
              <w:t>IDMC monitoring</w:t>
            </w:r>
          </w:p>
        </w:tc>
      </w:tr>
      <w:tr>
        <w:tc>
          <w:tcPr>
            <w:tcW w:type="dxa" w:w="2351"/>
            <w:shd w:fill="F4F6FA" w:val="clear"/>
          </w:tcPr>
          <w:p>
            <w:r>
              <w:rPr>
                <w:sz w:val="20"/>
              </w:rPr>
              <w:t>Revenue Impact</w:t>
            </w:r>
          </w:p>
        </w:tc>
        <w:tc>
          <w:tcPr>
            <w:tcW w:type="dxa" w:w="2351"/>
            <w:shd w:fill="F4F6FA" w:val="clear"/>
          </w:tcPr>
          <w:p>
            <w:r>
              <w:rPr>
                <w:sz w:val="20"/>
              </w:rPr>
              <w:t>Revenue enabled by data integration</w:t>
            </w:r>
          </w:p>
        </w:tc>
        <w:tc>
          <w:tcPr>
            <w:tcW w:type="dxa" w:w="2351"/>
            <w:shd w:fill="F4F6FA" w:val="clear"/>
          </w:tcPr>
          <w:p>
            <w:r>
              <w:rPr>
                <w:sz w:val="20"/>
              </w:rPr>
              <w:t>Per business case</w:t>
            </w:r>
          </w:p>
        </w:tc>
        <w:tc>
          <w:tcPr>
            <w:tcW w:type="dxa" w:w="2351"/>
            <w:shd w:fill="F4F6FA" w:val="clear"/>
          </w:tcPr>
          <w:p>
            <w:r>
              <w:rPr>
                <w:sz w:val="20"/>
              </w:rPr>
              <w:t>Business sponsor</w:t>
            </w:r>
          </w:p>
        </w:tc>
      </w:tr>
      <w:tr>
        <w:tc>
          <w:tcPr>
            <w:tcW w:type="dxa" w:w="2351"/>
          </w:tcPr>
          <w:p>
            <w:r>
              <w:rPr>
                <w:sz w:val="20"/>
              </w:rPr>
              <w:t>Compliance Score</w:t>
            </w:r>
          </w:p>
        </w:tc>
        <w:tc>
          <w:tcPr>
            <w:tcW w:type="dxa" w:w="2351"/>
          </w:tcPr>
          <w:p>
            <w:r>
              <w:rPr>
                <w:sz w:val="20"/>
              </w:rPr>
              <w:t>Audit findings addressed / Total</w:t>
            </w:r>
          </w:p>
        </w:tc>
        <w:tc>
          <w:tcPr>
            <w:tcW w:type="dxa" w:w="2351"/>
          </w:tcPr>
          <w:p>
            <w:r>
              <w:rPr>
                <w:sz w:val="20"/>
              </w:rPr>
              <w:t>100%</w:t>
            </w:r>
          </w:p>
        </w:tc>
        <w:tc>
          <w:tcPr>
            <w:tcW w:type="dxa" w:w="2351"/>
          </w:tcPr>
          <w:p>
            <w:r>
              <w:rPr>
                <w:sz w:val="20"/>
              </w:rPr>
              <w:t>Audit / GRC tool</w:t>
            </w:r>
          </w:p>
        </w:tc>
      </w:tr>
    </w:tbl>
    <w:p/>
    <w:p>
      <w:pPr>
        <w:shd w:fill="E3F2FD" w:val="clear"/>
        <w:pBdr>
          <w:top w:val="single" w:sz="4" w:space="4" w:color="2196F3"/>
          <w:left w:val="single" w:sz="12" w:space="4" w:color="2196F3"/>
          <w:right w:val="single" w:sz="4" w:space="4" w:color="2196F3"/>
        </w:pBdr>
        <w:spacing w:after="0"/>
        <w:ind w:left="432" w:right="432"/>
      </w:pPr>
      <w:r>
        <w:rPr>
          <w:b/>
          <w:color w:val="2196F3"/>
          <w:sz w:val="20"/>
        </w:rPr>
        <w:t xml:space="preserve">  INFO</w:t>
      </w:r>
    </w:p>
    <w:p>
      <w:pPr>
        <w:shd w:fill="E3F2FD" w:val="clear"/>
        <w:pBdr>
          <w:bottom w:val="single" w:sz="4" w:space="4" w:color="2196F3"/>
          <w:left w:val="single" w:sz="12" w:space="4" w:color="2196F3"/>
          <w:right w:val="single" w:sz="4" w:space="4" w:color="2196F3"/>
        </w:pBdr>
        <w:spacing w:before="0"/>
        <w:ind w:left="432" w:right="432"/>
      </w:pPr>
      <w:r>
        <w:rPr>
          <w:color w:val="4B5563"/>
          <w:sz w:val="20"/>
        </w:rPr>
        <w:t xml:space="preserve">  Value KPIs require baseline measurements before the program starts. Work with Finance and business sponsors to establish current-state cost and time benchmarks.</w:t>
      </w:r>
    </w:p>
    <w:p/>
    <w:p>
      <w:r>
        <w:br w:type="page"/>
      </w:r>
    </w:p>
    <w:p>
      <w:pPr>
        <w:pStyle w:val="Heading1"/>
      </w:pPr>
      <w:r>
        <w:t>6. Measurement Methodology</w:t>
      </w:r>
    </w:p>
    <w:p>
      <w:r>
        <w:t>Consistent measurement methodology ensures KPI data is reliable, comparable, and actionable. Each KPI must have a documented measurement specification.</w:t>
      </w:r>
    </w:p>
    <w:p>
      <w:pPr>
        <w:pStyle w:val="Heading2"/>
      </w:pPr>
      <w:r>
        <w:t>6.1 KPI Specification Template</w:t>
      </w:r>
    </w:p>
    <w:tbl>
      <w:tblPr>
        <w:tblStyle w:val="TableGrid"/>
        <w:tblW w:type="auto" w:w="0"/>
        <w:tblLayout w:type="autofit"/>
        <w:tblLook w:firstColumn="1" w:firstRow="1" w:lastColumn="0" w:lastRow="0" w:noHBand="0" w:noVBand="1" w:val="04A0"/>
      </w:tblPr>
      <w:tblGrid>
        <w:gridCol w:w="4703"/>
        <w:gridCol w:w="4703"/>
      </w:tblGrid>
      <w:tr>
        <w:tc>
          <w:tcPr>
            <w:tcW w:type="dxa" w:w="4703"/>
            <w:shd w:fill="0C548A" w:val="clear"/>
          </w:tcPr>
          <w:p>
            <w:r>
              <w:rPr>
                <w:b/>
                <w:color w:val="FFFFFF"/>
                <w:sz w:val="20"/>
              </w:rPr>
              <w:t>Attribute</w:t>
            </w:r>
          </w:p>
        </w:tc>
        <w:tc>
          <w:tcPr>
            <w:tcW w:type="dxa" w:w="4703"/>
            <w:shd w:fill="0C548A" w:val="clear"/>
          </w:tcPr>
          <w:p>
            <w:r>
              <w:rPr>
                <w:b/>
                <w:color w:val="FFFFFF"/>
                <w:sz w:val="20"/>
              </w:rPr>
              <w:t>Description</w:t>
            </w:r>
          </w:p>
        </w:tc>
      </w:tr>
      <w:tr>
        <w:tc>
          <w:tcPr>
            <w:tcW w:type="dxa" w:w="4703"/>
          </w:tcPr>
          <w:p>
            <w:r>
              <w:rPr>
                <w:sz w:val="20"/>
              </w:rPr>
              <w:t>KPI Name</w:t>
            </w:r>
          </w:p>
        </w:tc>
        <w:tc>
          <w:tcPr>
            <w:tcW w:type="dxa" w:w="4703"/>
          </w:tcPr>
          <w:p>
            <w:r>
              <w:rPr>
                <w:sz w:val="20"/>
              </w:rPr>
              <w:t>Clear, unambiguous name</w:t>
            </w:r>
          </w:p>
        </w:tc>
      </w:tr>
      <w:tr>
        <w:tc>
          <w:tcPr>
            <w:tcW w:type="dxa" w:w="4703"/>
            <w:shd w:fill="F4F6FA" w:val="clear"/>
          </w:tcPr>
          <w:p>
            <w:r>
              <w:rPr>
                <w:sz w:val="20"/>
              </w:rPr>
              <w:t>Definition</w:t>
            </w:r>
          </w:p>
        </w:tc>
        <w:tc>
          <w:tcPr>
            <w:tcW w:type="dxa" w:w="4703"/>
            <w:shd w:fill="F4F6FA" w:val="clear"/>
          </w:tcPr>
          <w:p>
            <w:r>
              <w:rPr>
                <w:sz w:val="20"/>
              </w:rPr>
              <w:t>Precise calculation formula</w:t>
            </w:r>
          </w:p>
        </w:tc>
      </w:tr>
      <w:tr>
        <w:tc>
          <w:tcPr>
            <w:tcW w:type="dxa" w:w="4703"/>
          </w:tcPr>
          <w:p>
            <w:r>
              <w:rPr>
                <w:sz w:val="20"/>
              </w:rPr>
              <w:t>Data Source</w:t>
            </w:r>
          </w:p>
        </w:tc>
        <w:tc>
          <w:tcPr>
            <w:tcW w:type="dxa" w:w="4703"/>
          </w:tcPr>
          <w:p>
            <w:r>
              <w:rPr>
                <w:sz w:val="20"/>
              </w:rPr>
              <w:t>System or tool providing raw data</w:t>
            </w:r>
          </w:p>
        </w:tc>
      </w:tr>
      <w:tr>
        <w:tc>
          <w:tcPr>
            <w:tcW w:type="dxa" w:w="4703"/>
            <w:shd w:fill="F4F6FA" w:val="clear"/>
          </w:tcPr>
          <w:p>
            <w:r>
              <w:rPr>
                <w:sz w:val="20"/>
              </w:rPr>
              <w:t>Collection Frequency</w:t>
            </w:r>
          </w:p>
        </w:tc>
        <w:tc>
          <w:tcPr>
            <w:tcW w:type="dxa" w:w="4703"/>
            <w:shd w:fill="F4F6FA" w:val="clear"/>
          </w:tcPr>
          <w:p>
            <w:r>
              <w:rPr>
                <w:sz w:val="20"/>
              </w:rPr>
              <w:t>How often data is gathered</w:t>
            </w:r>
          </w:p>
        </w:tc>
      </w:tr>
      <w:tr>
        <w:tc>
          <w:tcPr>
            <w:tcW w:type="dxa" w:w="4703"/>
          </w:tcPr>
          <w:p>
            <w:r>
              <w:rPr>
                <w:sz w:val="20"/>
              </w:rPr>
              <w:t>Owner</w:t>
            </w:r>
          </w:p>
        </w:tc>
        <w:tc>
          <w:tcPr>
            <w:tcW w:type="dxa" w:w="4703"/>
          </w:tcPr>
          <w:p>
            <w:r>
              <w:rPr>
                <w:sz w:val="20"/>
              </w:rPr>
              <w:t>Person responsible for data accuracy</w:t>
            </w:r>
          </w:p>
        </w:tc>
      </w:tr>
      <w:tr>
        <w:tc>
          <w:tcPr>
            <w:tcW w:type="dxa" w:w="4703"/>
            <w:shd w:fill="F4F6FA" w:val="clear"/>
          </w:tcPr>
          <w:p>
            <w:r>
              <w:rPr>
                <w:sz w:val="20"/>
              </w:rPr>
              <w:t>Target / Threshold</w:t>
            </w:r>
          </w:p>
        </w:tc>
        <w:tc>
          <w:tcPr>
            <w:tcW w:type="dxa" w:w="4703"/>
            <w:shd w:fill="F4F6FA" w:val="clear"/>
          </w:tcPr>
          <w:p>
            <w:r>
              <w:rPr>
                <w:sz w:val="20"/>
              </w:rPr>
              <w:t>Green / Amber / Red thresholds</w:t>
            </w:r>
          </w:p>
        </w:tc>
      </w:tr>
      <w:tr>
        <w:tc>
          <w:tcPr>
            <w:tcW w:type="dxa" w:w="4703"/>
          </w:tcPr>
          <w:p>
            <w:r>
              <w:rPr>
                <w:sz w:val="20"/>
              </w:rPr>
              <w:t>Action Trigger</w:t>
            </w:r>
          </w:p>
        </w:tc>
        <w:tc>
          <w:tcPr>
            <w:tcW w:type="dxa" w:w="4703"/>
          </w:tcPr>
          <w:p>
            <w:r>
              <w:rPr>
                <w:sz w:val="20"/>
              </w:rPr>
              <w:t>What happens when threshold is breached</w:t>
            </w:r>
          </w:p>
        </w:tc>
      </w:tr>
    </w:tbl>
    <w:p/>
    <w:p>
      <w:pPr>
        <w:pStyle w:val="Heading2"/>
      </w:pPr>
      <w:r>
        <w:t>6.2 Data Collection Approaches</w:t>
      </w:r>
    </w:p>
    <w:p>
      <w:pPr>
        <w:pStyle w:val="ListBullet"/>
      </w:pPr>
      <w:r>
        <w:t>Automated extraction from IDMC APIs and monitoring dashboards</w:t>
      </w:r>
    </w:p>
    <w:p>
      <w:pPr>
        <w:pStyle w:val="ListBullet"/>
      </w:pPr>
      <w:r>
        <w:t>Manual collection via surveys, timesheets, and self-reporting</w:t>
      </w:r>
    </w:p>
    <w:p>
      <w:pPr>
        <w:pStyle w:val="ListBullet"/>
      </w:pPr>
      <w:r>
        <w:t>Hybrid approach with automated data validated by manual review</w:t>
      </w:r>
    </w:p>
    <w:p>
      <w:r>
        <w:br w:type="page"/>
      </w:r>
    </w:p>
    <w:p>
      <w:pPr>
        <w:pStyle w:val="Heading1"/>
      </w:pPr>
      <w:r>
        <w:t>7. Dashboard Design</w:t>
      </w:r>
    </w:p>
    <w:p>
      <w:r>
        <w:t>Program dashboards provide real-time visibility into KPI performance. Design dashboards for three distinct audiences: executive, management, and technical.</w:t>
      </w:r>
    </w:p>
    <w:p>
      <w:pPr>
        <w:pStyle w:val="Heading2"/>
      </w:pPr>
      <w:r>
        <w:t>7.1 Executive Dashboard</w:t>
      </w:r>
    </w:p>
    <w:p>
      <w:pPr>
        <w:pStyle w:val="ListBullet"/>
      </w:pPr>
      <w:r>
        <w:t>RAG status for each pillar (Delivery, Quality, Adoption, Value)</w:t>
      </w:r>
    </w:p>
    <w:p>
      <w:pPr>
        <w:pStyle w:val="ListBullet"/>
      </w:pPr>
      <w:r>
        <w:t>Top 3 risks and issues with mitigation status</w:t>
      </w:r>
    </w:p>
    <w:p>
      <w:pPr>
        <w:pStyle w:val="ListBullet"/>
      </w:pPr>
      <w:r>
        <w:t>Budget burn-down and forecast</w:t>
      </w:r>
    </w:p>
    <w:p>
      <w:pPr>
        <w:pStyle w:val="ListBullet"/>
      </w:pPr>
      <w:r>
        <w:t>Key milestone timeline with actuals vs. planned</w:t>
      </w:r>
    </w:p>
    <w:p>
      <w:pPr>
        <w:pStyle w:val="Heading2"/>
      </w:pPr>
      <w:r>
        <w:t>7.2 Management Dashboard</w:t>
      </w:r>
    </w:p>
    <w:p>
      <w:pPr>
        <w:pStyle w:val="ListBullet"/>
      </w:pPr>
      <w:r>
        <w:t>Sprint velocity and burn-down charts</w:t>
      </w:r>
    </w:p>
    <w:p>
      <w:pPr>
        <w:pStyle w:val="ListBullet"/>
      </w:pPr>
      <w:r>
        <w:t>Defect aging and resolution trend</w:t>
      </w:r>
    </w:p>
    <w:p>
      <w:pPr>
        <w:pStyle w:val="ListBullet"/>
      </w:pPr>
      <w:r>
        <w:t>Resource allocation and utilization heat map</w:t>
      </w:r>
    </w:p>
    <w:p>
      <w:pPr>
        <w:pStyle w:val="ListBullet"/>
      </w:pPr>
      <w:r>
        <w:t>Change request backlog and approval pipeline</w:t>
      </w:r>
    </w:p>
    <w:p>
      <w:pPr>
        <w:pStyle w:val="Heading2"/>
      </w:pPr>
      <w:r>
        <w:t>7.3 Technical Dashboard</w:t>
      </w:r>
    </w:p>
    <w:p>
      <w:pPr>
        <w:pStyle w:val="ListBullet"/>
      </w:pPr>
      <w:r>
        <w:t>Pipeline execution success/failure rates</w:t>
      </w:r>
    </w:p>
    <w:p>
      <w:pPr>
        <w:pStyle w:val="ListBullet"/>
      </w:pPr>
      <w:r>
        <w:t>IPU consumption by service and mapping</w:t>
      </w:r>
    </w:p>
    <w:p>
      <w:pPr>
        <w:pStyle w:val="ListBullet"/>
      </w:pPr>
      <w:r>
        <w:t>Data quality scores by domain</w:t>
      </w:r>
    </w:p>
    <w:p>
      <w:pPr>
        <w:pStyle w:val="ListBullet"/>
      </w:pPr>
      <w:r>
        <w:t>Environment health and connectivity status</w:t>
      </w:r>
    </w:p>
    <w:p>
      <w:r>
        <w:br w:type="page"/>
      </w:r>
    </w:p>
    <w:p>
      <w:pPr>
        <w:pStyle w:val="Heading1"/>
      </w:pPr>
      <w:r>
        <w:t>8. Reporting Cadence</w:t>
      </w:r>
    </w:p>
    <w:tbl>
      <w:tblPr>
        <w:tblStyle w:val="TableGrid"/>
        <w:tblW w:type="auto" w:w="0"/>
        <w:tblLayout w:type="autofit"/>
        <w:tblLook w:firstColumn="1" w:firstRow="1" w:lastColumn="0" w:lastRow="0" w:noHBand="0" w:noVBand="1" w:val="04A0"/>
      </w:tblPr>
      <w:tblGrid>
        <w:gridCol w:w="1881"/>
        <w:gridCol w:w="1881"/>
        <w:gridCol w:w="1881"/>
        <w:gridCol w:w="1881"/>
        <w:gridCol w:w="1881"/>
      </w:tblGrid>
      <w:tr>
        <w:tc>
          <w:tcPr>
            <w:tcW w:type="dxa" w:w="1881"/>
            <w:shd w:fill="0C548A" w:val="clear"/>
          </w:tcPr>
          <w:p>
            <w:r>
              <w:rPr>
                <w:b/>
                <w:color w:val="FFFFFF"/>
                <w:sz w:val="20"/>
              </w:rPr>
              <w:t>Report</w:t>
            </w:r>
          </w:p>
        </w:tc>
        <w:tc>
          <w:tcPr>
            <w:tcW w:type="dxa" w:w="1881"/>
            <w:shd w:fill="0C548A" w:val="clear"/>
          </w:tcPr>
          <w:p>
            <w:r>
              <w:rPr>
                <w:b/>
                <w:color w:val="FFFFFF"/>
                <w:sz w:val="20"/>
              </w:rPr>
              <w:t>Audience</w:t>
            </w:r>
          </w:p>
        </w:tc>
        <w:tc>
          <w:tcPr>
            <w:tcW w:type="dxa" w:w="1881"/>
            <w:shd w:fill="0C548A" w:val="clear"/>
          </w:tcPr>
          <w:p>
            <w:r>
              <w:rPr>
                <w:b/>
                <w:color w:val="FFFFFF"/>
                <w:sz w:val="20"/>
              </w:rPr>
              <w:t>Frequency</w:t>
            </w:r>
          </w:p>
        </w:tc>
        <w:tc>
          <w:tcPr>
            <w:tcW w:type="dxa" w:w="1881"/>
            <w:shd w:fill="0C548A" w:val="clear"/>
          </w:tcPr>
          <w:p>
            <w:r>
              <w:rPr>
                <w:b/>
                <w:color w:val="FFFFFF"/>
                <w:sz w:val="20"/>
              </w:rPr>
              <w:t>Owner</w:t>
            </w:r>
          </w:p>
        </w:tc>
        <w:tc>
          <w:tcPr>
            <w:tcW w:type="dxa" w:w="1881"/>
            <w:shd w:fill="0C548A" w:val="clear"/>
          </w:tcPr>
          <w:p>
            <w:r>
              <w:rPr>
                <w:b/>
                <w:color w:val="FFFFFF"/>
                <w:sz w:val="20"/>
              </w:rPr>
              <w:t>Format</w:t>
            </w:r>
          </w:p>
        </w:tc>
      </w:tr>
      <w:tr>
        <w:tc>
          <w:tcPr>
            <w:tcW w:type="dxa" w:w="1881"/>
          </w:tcPr>
          <w:p>
            <w:r>
              <w:rPr>
                <w:sz w:val="20"/>
              </w:rPr>
              <w:t>Daily Stand-up Metrics</w:t>
            </w:r>
          </w:p>
        </w:tc>
        <w:tc>
          <w:tcPr>
            <w:tcW w:type="dxa" w:w="1881"/>
          </w:tcPr>
          <w:p>
            <w:r>
              <w:rPr>
                <w:sz w:val="20"/>
              </w:rPr>
              <w:t>Scrum Team</w:t>
            </w:r>
          </w:p>
        </w:tc>
        <w:tc>
          <w:tcPr>
            <w:tcW w:type="dxa" w:w="1881"/>
          </w:tcPr>
          <w:p>
            <w:r>
              <w:rPr>
                <w:sz w:val="20"/>
              </w:rPr>
              <w:t>Daily</w:t>
            </w:r>
          </w:p>
        </w:tc>
        <w:tc>
          <w:tcPr>
            <w:tcW w:type="dxa" w:w="1881"/>
          </w:tcPr>
          <w:p>
            <w:r>
              <w:rPr>
                <w:sz w:val="20"/>
              </w:rPr>
              <w:t>Scrum Master</w:t>
            </w:r>
          </w:p>
        </w:tc>
        <w:tc>
          <w:tcPr>
            <w:tcW w:type="dxa" w:w="1881"/>
          </w:tcPr>
          <w:p>
            <w:r>
              <w:rPr>
                <w:sz w:val="20"/>
              </w:rPr>
              <w:t>Verbal + board</w:t>
            </w:r>
          </w:p>
        </w:tc>
      </w:tr>
      <w:tr>
        <w:tc>
          <w:tcPr>
            <w:tcW w:type="dxa" w:w="1881"/>
            <w:shd w:fill="F4F6FA" w:val="clear"/>
          </w:tcPr>
          <w:p>
            <w:r>
              <w:rPr>
                <w:sz w:val="20"/>
              </w:rPr>
              <w:t>Sprint Report</w:t>
            </w:r>
          </w:p>
        </w:tc>
        <w:tc>
          <w:tcPr>
            <w:tcW w:type="dxa" w:w="1881"/>
            <w:shd w:fill="F4F6FA" w:val="clear"/>
          </w:tcPr>
          <w:p>
            <w:r>
              <w:rPr>
                <w:sz w:val="20"/>
              </w:rPr>
              <w:t>Delivery Team</w:t>
            </w:r>
          </w:p>
        </w:tc>
        <w:tc>
          <w:tcPr>
            <w:tcW w:type="dxa" w:w="1881"/>
            <w:shd w:fill="F4F6FA" w:val="clear"/>
          </w:tcPr>
          <w:p>
            <w:r>
              <w:rPr>
                <w:sz w:val="20"/>
              </w:rPr>
              <w:t>Bi-weekly</w:t>
            </w:r>
          </w:p>
        </w:tc>
        <w:tc>
          <w:tcPr>
            <w:tcW w:type="dxa" w:w="1881"/>
            <w:shd w:fill="F4F6FA" w:val="clear"/>
          </w:tcPr>
          <w:p>
            <w:r>
              <w:rPr>
                <w:sz w:val="20"/>
              </w:rPr>
              <w:t>Tech Lead</w:t>
            </w:r>
          </w:p>
        </w:tc>
        <w:tc>
          <w:tcPr>
            <w:tcW w:type="dxa" w:w="1881"/>
            <w:shd w:fill="F4F6FA" w:val="clear"/>
          </w:tcPr>
          <w:p>
            <w:r>
              <w:rPr>
                <w:sz w:val="20"/>
              </w:rPr>
              <w:t>Slide deck</w:t>
            </w:r>
          </w:p>
        </w:tc>
      </w:tr>
      <w:tr>
        <w:tc>
          <w:tcPr>
            <w:tcW w:type="dxa" w:w="1881"/>
          </w:tcPr>
          <w:p>
            <w:r>
              <w:rPr>
                <w:sz w:val="20"/>
              </w:rPr>
              <w:t>Weekly Status Report</w:t>
            </w:r>
          </w:p>
        </w:tc>
        <w:tc>
          <w:tcPr>
            <w:tcW w:type="dxa" w:w="1881"/>
          </w:tcPr>
          <w:p>
            <w:r>
              <w:rPr>
                <w:sz w:val="20"/>
              </w:rPr>
              <w:t>PMO / Sponsors</w:t>
            </w:r>
          </w:p>
        </w:tc>
        <w:tc>
          <w:tcPr>
            <w:tcW w:type="dxa" w:w="1881"/>
          </w:tcPr>
          <w:p>
            <w:r>
              <w:rPr>
                <w:sz w:val="20"/>
              </w:rPr>
              <w:t>Weekly</w:t>
            </w:r>
          </w:p>
        </w:tc>
        <w:tc>
          <w:tcPr>
            <w:tcW w:type="dxa" w:w="1881"/>
          </w:tcPr>
          <w:p>
            <w:r>
              <w:rPr>
                <w:sz w:val="20"/>
              </w:rPr>
              <w:t>PM</w:t>
            </w:r>
          </w:p>
        </w:tc>
        <w:tc>
          <w:tcPr>
            <w:tcW w:type="dxa" w:w="1881"/>
          </w:tcPr>
          <w:p>
            <w:r>
              <w:rPr>
                <w:sz w:val="20"/>
              </w:rPr>
              <w:t>Document / email</w:t>
            </w:r>
          </w:p>
        </w:tc>
      </w:tr>
      <w:tr>
        <w:tc>
          <w:tcPr>
            <w:tcW w:type="dxa" w:w="1881"/>
            <w:shd w:fill="F4F6FA" w:val="clear"/>
          </w:tcPr>
          <w:p>
            <w:r>
              <w:rPr>
                <w:sz w:val="20"/>
              </w:rPr>
              <w:t>Monthly Executive Report</w:t>
            </w:r>
          </w:p>
        </w:tc>
        <w:tc>
          <w:tcPr>
            <w:tcW w:type="dxa" w:w="1881"/>
            <w:shd w:fill="F4F6FA" w:val="clear"/>
          </w:tcPr>
          <w:p>
            <w:r>
              <w:rPr>
                <w:sz w:val="20"/>
              </w:rPr>
              <w:t>Steering Committee</w:t>
            </w:r>
          </w:p>
        </w:tc>
        <w:tc>
          <w:tcPr>
            <w:tcW w:type="dxa" w:w="1881"/>
            <w:shd w:fill="F4F6FA" w:val="clear"/>
          </w:tcPr>
          <w:p>
            <w:r>
              <w:rPr>
                <w:sz w:val="20"/>
              </w:rPr>
              <w:t>Monthly</w:t>
            </w:r>
          </w:p>
        </w:tc>
        <w:tc>
          <w:tcPr>
            <w:tcW w:type="dxa" w:w="1881"/>
            <w:shd w:fill="F4F6FA" w:val="clear"/>
          </w:tcPr>
          <w:p>
            <w:r>
              <w:rPr>
                <w:sz w:val="20"/>
              </w:rPr>
              <w:t>Program Director</w:t>
            </w:r>
          </w:p>
        </w:tc>
        <w:tc>
          <w:tcPr>
            <w:tcW w:type="dxa" w:w="1881"/>
            <w:shd w:fill="F4F6FA" w:val="clear"/>
          </w:tcPr>
          <w:p>
            <w:r>
              <w:rPr>
                <w:sz w:val="20"/>
              </w:rPr>
              <w:t>Slide deck</w:t>
            </w:r>
          </w:p>
        </w:tc>
      </w:tr>
      <w:tr>
        <w:tc>
          <w:tcPr>
            <w:tcW w:type="dxa" w:w="1881"/>
          </w:tcPr>
          <w:p>
            <w:r>
              <w:rPr>
                <w:sz w:val="20"/>
              </w:rPr>
              <w:t>Quarterly Business Review</w:t>
            </w:r>
          </w:p>
        </w:tc>
        <w:tc>
          <w:tcPr>
            <w:tcW w:type="dxa" w:w="1881"/>
          </w:tcPr>
          <w:p>
            <w:r>
              <w:rPr>
                <w:sz w:val="20"/>
              </w:rPr>
              <w:t>Executives</w:t>
            </w:r>
          </w:p>
        </w:tc>
        <w:tc>
          <w:tcPr>
            <w:tcW w:type="dxa" w:w="1881"/>
          </w:tcPr>
          <w:p>
            <w:r>
              <w:rPr>
                <w:sz w:val="20"/>
              </w:rPr>
              <w:t>Quarterly</w:t>
            </w:r>
          </w:p>
        </w:tc>
        <w:tc>
          <w:tcPr>
            <w:tcW w:type="dxa" w:w="1881"/>
          </w:tcPr>
          <w:p>
            <w:r>
              <w:rPr>
                <w:sz w:val="20"/>
              </w:rPr>
              <w:t>Program Director</w:t>
            </w:r>
          </w:p>
        </w:tc>
        <w:tc>
          <w:tcPr>
            <w:tcW w:type="dxa" w:w="1881"/>
          </w:tcPr>
          <w:p>
            <w:r>
              <w:rPr>
                <w:sz w:val="20"/>
              </w:rPr>
              <w:t>Executive brief</w:t>
            </w:r>
          </w:p>
        </w:tc>
      </w:tr>
    </w:tbl>
    <w:p/>
    <w:p>
      <w:r>
        <w:t>Each report should reference the same underlying KPI data to ensure consistency. Automate data pipelines from source systems into the reporting layer to reduce manual effort and improve accuracy.</w:t>
      </w:r>
    </w:p>
    <w:p>
      <w:r>
        <w:br w:type="page"/>
      </w:r>
    </w:p>
    <w:p>
      <w:pPr>
        <w:pStyle w:val="Heading1"/>
      </w:pPr>
      <w:r>
        <w:t>9. Benchmarking &amp; Targets</w:t>
      </w:r>
    </w:p>
    <w:p>
      <w:r>
        <w:t>Benchmarks provide context for KPI performance by comparing against industry standards, historical performance, and peer programs. Targets should be set collaboratively with stakeholders using SMART criteria.</w:t>
      </w:r>
    </w:p>
    <w:p>
      <w:pPr>
        <w:pStyle w:val="Heading2"/>
      </w:pPr>
      <w:r>
        <w:t>9.1 Industry Benchmarks</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Metric</w:t>
            </w:r>
          </w:p>
        </w:tc>
        <w:tc>
          <w:tcPr>
            <w:tcW w:type="dxa" w:w="2351"/>
            <w:shd w:fill="0C548A" w:val="clear"/>
          </w:tcPr>
          <w:p>
            <w:r>
              <w:rPr>
                <w:b/>
                <w:color w:val="FFFFFF"/>
                <w:sz w:val="20"/>
              </w:rPr>
              <w:t>Industry Average</w:t>
            </w:r>
          </w:p>
        </w:tc>
        <w:tc>
          <w:tcPr>
            <w:tcW w:type="dxa" w:w="2351"/>
            <w:shd w:fill="0C548A" w:val="clear"/>
          </w:tcPr>
          <w:p>
            <w:r>
              <w:rPr>
                <w:b/>
                <w:color w:val="FFFFFF"/>
                <w:sz w:val="20"/>
              </w:rPr>
              <w:t>Top Quartile</w:t>
            </w:r>
          </w:p>
        </w:tc>
        <w:tc>
          <w:tcPr>
            <w:tcW w:type="dxa" w:w="2351"/>
            <w:shd w:fill="0C548A" w:val="clear"/>
          </w:tcPr>
          <w:p>
            <w:r>
              <w:rPr>
                <w:b/>
                <w:color w:val="FFFFFF"/>
                <w:sz w:val="20"/>
              </w:rPr>
              <w:t>Mastech Target</w:t>
            </w:r>
          </w:p>
        </w:tc>
      </w:tr>
      <w:tr>
        <w:tc>
          <w:tcPr>
            <w:tcW w:type="dxa" w:w="2351"/>
          </w:tcPr>
          <w:p>
            <w:r>
              <w:rPr>
                <w:sz w:val="20"/>
              </w:rPr>
              <w:t>Sprint Velocity Variance</w:t>
            </w:r>
          </w:p>
        </w:tc>
        <w:tc>
          <w:tcPr>
            <w:tcW w:type="dxa" w:w="2351"/>
          </w:tcPr>
          <w:p>
            <w:r>
              <w:rPr>
                <w:sz w:val="20"/>
              </w:rPr>
              <w:t>+/- 20%</w:t>
            </w:r>
          </w:p>
        </w:tc>
        <w:tc>
          <w:tcPr>
            <w:tcW w:type="dxa" w:w="2351"/>
          </w:tcPr>
          <w:p>
            <w:r>
              <w:rPr>
                <w:sz w:val="20"/>
              </w:rPr>
              <w:t>+/- 10%</w:t>
            </w:r>
          </w:p>
        </w:tc>
        <w:tc>
          <w:tcPr>
            <w:tcW w:type="dxa" w:w="2351"/>
          </w:tcPr>
          <w:p>
            <w:r>
              <w:rPr>
                <w:sz w:val="20"/>
              </w:rPr>
              <w:t>+/- 10%</w:t>
            </w:r>
          </w:p>
        </w:tc>
      </w:tr>
      <w:tr>
        <w:tc>
          <w:tcPr>
            <w:tcW w:type="dxa" w:w="2351"/>
            <w:shd w:fill="F4F6FA" w:val="clear"/>
          </w:tcPr>
          <w:p>
            <w:r>
              <w:rPr>
                <w:sz w:val="20"/>
              </w:rPr>
              <w:t>Defect Density</w:t>
            </w:r>
          </w:p>
        </w:tc>
        <w:tc>
          <w:tcPr>
            <w:tcW w:type="dxa" w:w="2351"/>
            <w:shd w:fill="F4F6FA" w:val="clear"/>
          </w:tcPr>
          <w:p>
            <w:r>
              <w:rPr>
                <w:sz w:val="20"/>
              </w:rPr>
              <w:t>0.5 per deliverable</w:t>
            </w:r>
          </w:p>
        </w:tc>
        <w:tc>
          <w:tcPr>
            <w:tcW w:type="dxa" w:w="2351"/>
            <w:shd w:fill="F4F6FA" w:val="clear"/>
          </w:tcPr>
          <w:p>
            <w:r>
              <w:rPr>
                <w:sz w:val="20"/>
              </w:rPr>
              <w:t>0.2 per deliverable</w:t>
            </w:r>
          </w:p>
        </w:tc>
        <w:tc>
          <w:tcPr>
            <w:tcW w:type="dxa" w:w="2351"/>
            <w:shd w:fill="F4F6FA" w:val="clear"/>
          </w:tcPr>
          <w:p>
            <w:r>
              <w:rPr>
                <w:sz w:val="20"/>
              </w:rPr>
              <w:t>&lt; 0.3</w:t>
            </w:r>
          </w:p>
        </w:tc>
      </w:tr>
      <w:tr>
        <w:tc>
          <w:tcPr>
            <w:tcW w:type="dxa" w:w="2351"/>
          </w:tcPr>
          <w:p>
            <w:r>
              <w:rPr>
                <w:sz w:val="20"/>
              </w:rPr>
              <w:t>Production Incident Rate</w:t>
            </w:r>
          </w:p>
        </w:tc>
        <w:tc>
          <w:tcPr>
            <w:tcW w:type="dxa" w:w="2351"/>
          </w:tcPr>
          <w:p>
            <w:r>
              <w:rPr>
                <w:sz w:val="20"/>
              </w:rPr>
              <w:t>5 per month</w:t>
            </w:r>
          </w:p>
        </w:tc>
        <w:tc>
          <w:tcPr>
            <w:tcW w:type="dxa" w:w="2351"/>
          </w:tcPr>
          <w:p>
            <w:r>
              <w:rPr>
                <w:sz w:val="20"/>
              </w:rPr>
              <w:t>1 per month</w:t>
            </w:r>
          </w:p>
        </w:tc>
        <w:tc>
          <w:tcPr>
            <w:tcW w:type="dxa" w:w="2351"/>
          </w:tcPr>
          <w:p>
            <w:r>
              <w:rPr>
                <w:sz w:val="20"/>
              </w:rPr>
              <w:t>&lt; 2</w:t>
            </w:r>
          </w:p>
        </w:tc>
      </w:tr>
      <w:tr>
        <w:tc>
          <w:tcPr>
            <w:tcW w:type="dxa" w:w="2351"/>
            <w:shd w:fill="F4F6FA" w:val="clear"/>
          </w:tcPr>
          <w:p>
            <w:r>
              <w:rPr>
                <w:sz w:val="20"/>
              </w:rPr>
              <w:t>User Adoption at Go-Live +90d</w:t>
            </w:r>
          </w:p>
        </w:tc>
        <w:tc>
          <w:tcPr>
            <w:tcW w:type="dxa" w:w="2351"/>
            <w:shd w:fill="F4F6FA" w:val="clear"/>
          </w:tcPr>
          <w:p>
            <w:r>
              <w:rPr>
                <w:sz w:val="20"/>
              </w:rPr>
              <w:t>60%</w:t>
            </w:r>
          </w:p>
        </w:tc>
        <w:tc>
          <w:tcPr>
            <w:tcW w:type="dxa" w:w="2351"/>
            <w:shd w:fill="F4F6FA" w:val="clear"/>
          </w:tcPr>
          <w:p>
            <w:r>
              <w:rPr>
                <w:sz w:val="20"/>
              </w:rPr>
              <w:t>85%</w:t>
            </w:r>
          </w:p>
        </w:tc>
        <w:tc>
          <w:tcPr>
            <w:tcW w:type="dxa" w:w="2351"/>
            <w:shd w:fill="F4F6FA" w:val="clear"/>
          </w:tcPr>
          <w:p>
            <w:r>
              <w:rPr>
                <w:sz w:val="20"/>
              </w:rPr>
              <w:t>&gt;= 80%</w:t>
            </w:r>
          </w:p>
        </w:tc>
      </w:tr>
    </w:tbl>
    <w:p/>
    <w:p>
      <w:pPr>
        <w:shd w:fill="E8F5E9" w:val="clear"/>
        <w:pBdr>
          <w:top w:val="single" w:sz="4" w:space="4" w:color="4CAF50"/>
          <w:left w:val="single" w:sz="12" w:space="4" w:color="4CAF50"/>
          <w:right w:val="single" w:sz="4" w:space="4" w:color="4CAF50"/>
        </w:pBdr>
        <w:spacing w:after="0"/>
        <w:ind w:left="432" w:right="432"/>
      </w:pPr>
      <w:r>
        <w:rPr>
          <w:b/>
          <w:color w:val="4CAF50"/>
          <w:sz w:val="20"/>
        </w:rPr>
        <w:t xml:space="preserve">  BEST PRACTICE</w:t>
      </w:r>
    </w:p>
    <w:p>
      <w:pPr>
        <w:shd w:fill="E8F5E9" w:val="clear"/>
        <w:pBdr>
          <w:bottom w:val="single" w:sz="4" w:space="4" w:color="4CAF50"/>
          <w:left w:val="single" w:sz="12" w:space="4" w:color="4CAF50"/>
          <w:right w:val="single" w:sz="4" w:space="4" w:color="4CAF50"/>
        </w:pBdr>
        <w:spacing w:before="0"/>
        <w:ind w:left="432" w:right="432"/>
      </w:pPr>
      <w:r>
        <w:rPr>
          <w:color w:val="4B5563"/>
          <w:sz w:val="20"/>
        </w:rPr>
        <w:t xml:space="preserve">  Re-baseline targets at each phase gate. Targets set during planning may need adjustment as the team gains velocity and learns the platform.</w:t>
      </w:r>
    </w:p>
    <w:p/>
    <w:p>
      <w:r>
        <w:br w:type="page"/>
      </w:r>
    </w:p>
    <w:p>
      <w:pPr>
        <w:pStyle w:val="Heading1"/>
      </w:pPr>
      <w:r>
        <w:t>10. Data Quality Metrics</w:t>
      </w:r>
    </w:p>
    <w:p>
      <w:r>
        <w:t>Data quality is a critical dimension for Informatica programs. IDMC provides built-in data profiling and quality scoring capabilities that should feed directly into program KPIs.</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Dimension</w:t>
            </w:r>
          </w:p>
        </w:tc>
        <w:tc>
          <w:tcPr>
            <w:tcW w:type="dxa" w:w="2351"/>
            <w:shd w:fill="0C548A" w:val="clear"/>
          </w:tcPr>
          <w:p>
            <w:r>
              <w:rPr>
                <w:b/>
                <w:color w:val="FFFFFF"/>
                <w:sz w:val="20"/>
              </w:rPr>
              <w:t>Metric</w:t>
            </w:r>
          </w:p>
        </w:tc>
        <w:tc>
          <w:tcPr>
            <w:tcW w:type="dxa" w:w="2351"/>
            <w:shd w:fill="0C548A" w:val="clear"/>
          </w:tcPr>
          <w:p>
            <w:r>
              <w:rPr>
                <w:b/>
                <w:color w:val="FFFFFF"/>
                <w:sz w:val="20"/>
              </w:rPr>
              <w:t>Target</w:t>
            </w:r>
          </w:p>
        </w:tc>
        <w:tc>
          <w:tcPr>
            <w:tcW w:type="dxa" w:w="2351"/>
            <w:shd w:fill="0C548A" w:val="clear"/>
          </w:tcPr>
          <w:p>
            <w:r>
              <w:rPr>
                <w:b/>
                <w:color w:val="FFFFFF"/>
                <w:sz w:val="20"/>
              </w:rPr>
              <w:t>IDMC Feature</w:t>
            </w:r>
          </w:p>
        </w:tc>
      </w:tr>
      <w:tr>
        <w:tc>
          <w:tcPr>
            <w:tcW w:type="dxa" w:w="2351"/>
          </w:tcPr>
          <w:p>
            <w:r>
              <w:rPr>
                <w:sz w:val="20"/>
              </w:rPr>
              <w:t>Completeness</w:t>
            </w:r>
          </w:p>
        </w:tc>
        <w:tc>
          <w:tcPr>
            <w:tcW w:type="dxa" w:w="2351"/>
          </w:tcPr>
          <w:p>
            <w:r>
              <w:rPr>
                <w:sz w:val="20"/>
              </w:rPr>
              <w:t>% of non-null required fields</w:t>
            </w:r>
          </w:p>
        </w:tc>
        <w:tc>
          <w:tcPr>
            <w:tcW w:type="dxa" w:w="2351"/>
          </w:tcPr>
          <w:p>
            <w:r>
              <w:rPr>
                <w:sz w:val="20"/>
              </w:rPr>
              <w:t>&gt;= 99%</w:t>
            </w:r>
          </w:p>
        </w:tc>
        <w:tc>
          <w:tcPr>
            <w:tcW w:type="dxa" w:w="2351"/>
          </w:tcPr>
          <w:p>
            <w:r>
              <w:rPr>
                <w:sz w:val="20"/>
              </w:rPr>
              <w:t>Data Quality rules</w:t>
            </w:r>
          </w:p>
        </w:tc>
      </w:tr>
      <w:tr>
        <w:tc>
          <w:tcPr>
            <w:tcW w:type="dxa" w:w="2351"/>
            <w:shd w:fill="F4F6FA" w:val="clear"/>
          </w:tcPr>
          <w:p>
            <w:r>
              <w:rPr>
                <w:sz w:val="20"/>
              </w:rPr>
              <w:t>Accuracy</w:t>
            </w:r>
          </w:p>
        </w:tc>
        <w:tc>
          <w:tcPr>
            <w:tcW w:type="dxa" w:w="2351"/>
            <w:shd w:fill="F4F6FA" w:val="clear"/>
          </w:tcPr>
          <w:p>
            <w:r>
              <w:rPr>
                <w:sz w:val="20"/>
              </w:rPr>
              <w:t>% of records matching golden source</w:t>
            </w:r>
          </w:p>
        </w:tc>
        <w:tc>
          <w:tcPr>
            <w:tcW w:type="dxa" w:w="2351"/>
            <w:shd w:fill="F4F6FA" w:val="clear"/>
          </w:tcPr>
          <w:p>
            <w:r>
              <w:rPr>
                <w:sz w:val="20"/>
              </w:rPr>
              <w:t>&gt;= 98%</w:t>
            </w:r>
          </w:p>
        </w:tc>
        <w:tc>
          <w:tcPr>
            <w:tcW w:type="dxa" w:w="2351"/>
            <w:shd w:fill="F4F6FA" w:val="clear"/>
          </w:tcPr>
          <w:p>
            <w:r>
              <w:rPr>
                <w:sz w:val="20"/>
              </w:rPr>
              <w:t>Data Quality scorecards</w:t>
            </w:r>
          </w:p>
        </w:tc>
      </w:tr>
      <w:tr>
        <w:tc>
          <w:tcPr>
            <w:tcW w:type="dxa" w:w="2351"/>
          </w:tcPr>
          <w:p>
            <w:r>
              <w:rPr>
                <w:sz w:val="20"/>
              </w:rPr>
              <w:t>Consistency</w:t>
            </w:r>
          </w:p>
        </w:tc>
        <w:tc>
          <w:tcPr>
            <w:tcW w:type="dxa" w:w="2351"/>
          </w:tcPr>
          <w:p>
            <w:r>
              <w:rPr>
                <w:sz w:val="20"/>
              </w:rPr>
              <w:t>% of records with uniform formats</w:t>
            </w:r>
          </w:p>
        </w:tc>
        <w:tc>
          <w:tcPr>
            <w:tcW w:type="dxa" w:w="2351"/>
          </w:tcPr>
          <w:p>
            <w:r>
              <w:rPr>
                <w:sz w:val="20"/>
              </w:rPr>
              <w:t>&gt;= 99%</w:t>
            </w:r>
          </w:p>
        </w:tc>
        <w:tc>
          <w:tcPr>
            <w:tcW w:type="dxa" w:w="2351"/>
          </w:tcPr>
          <w:p>
            <w:r>
              <w:rPr>
                <w:sz w:val="20"/>
              </w:rPr>
              <w:t>Data Quality standardization</w:t>
            </w:r>
          </w:p>
        </w:tc>
      </w:tr>
      <w:tr>
        <w:tc>
          <w:tcPr>
            <w:tcW w:type="dxa" w:w="2351"/>
            <w:shd w:fill="F4F6FA" w:val="clear"/>
          </w:tcPr>
          <w:p>
            <w:r>
              <w:rPr>
                <w:sz w:val="20"/>
              </w:rPr>
              <w:t>Timeliness</w:t>
            </w:r>
          </w:p>
        </w:tc>
        <w:tc>
          <w:tcPr>
            <w:tcW w:type="dxa" w:w="2351"/>
            <w:shd w:fill="F4F6FA" w:val="clear"/>
          </w:tcPr>
          <w:p>
            <w:r>
              <w:rPr>
                <w:sz w:val="20"/>
              </w:rPr>
              <w:t>Data freshness (lag from source)</w:t>
            </w:r>
          </w:p>
        </w:tc>
        <w:tc>
          <w:tcPr>
            <w:tcW w:type="dxa" w:w="2351"/>
            <w:shd w:fill="F4F6FA" w:val="clear"/>
          </w:tcPr>
          <w:p>
            <w:r>
              <w:rPr>
                <w:sz w:val="20"/>
              </w:rPr>
              <w:t>&lt; 15 min for real-time</w:t>
            </w:r>
          </w:p>
        </w:tc>
        <w:tc>
          <w:tcPr>
            <w:tcW w:type="dxa" w:w="2351"/>
            <w:shd w:fill="F4F6FA" w:val="clear"/>
          </w:tcPr>
          <w:p>
            <w:r>
              <w:rPr>
                <w:sz w:val="20"/>
              </w:rPr>
              <w:t>CDI / streaming</w:t>
            </w:r>
          </w:p>
        </w:tc>
      </w:tr>
      <w:tr>
        <w:tc>
          <w:tcPr>
            <w:tcW w:type="dxa" w:w="2351"/>
          </w:tcPr>
          <w:p>
            <w:r>
              <w:rPr>
                <w:sz w:val="20"/>
              </w:rPr>
              <w:t>Uniqueness</w:t>
            </w:r>
          </w:p>
        </w:tc>
        <w:tc>
          <w:tcPr>
            <w:tcW w:type="dxa" w:w="2351"/>
          </w:tcPr>
          <w:p>
            <w:r>
              <w:rPr>
                <w:sz w:val="20"/>
              </w:rPr>
              <w:t>% of records without duplicates</w:t>
            </w:r>
          </w:p>
        </w:tc>
        <w:tc>
          <w:tcPr>
            <w:tcW w:type="dxa" w:w="2351"/>
          </w:tcPr>
          <w:p>
            <w:r>
              <w:rPr>
                <w:sz w:val="20"/>
              </w:rPr>
              <w:t>&gt;= 99.5%</w:t>
            </w:r>
          </w:p>
        </w:tc>
        <w:tc>
          <w:tcPr>
            <w:tcW w:type="dxa" w:w="2351"/>
          </w:tcPr>
          <w:p>
            <w:r>
              <w:rPr>
                <w:sz w:val="20"/>
              </w:rPr>
              <w:t>CDI match/merge</w:t>
            </w:r>
          </w:p>
        </w:tc>
      </w:tr>
    </w:tbl>
    <w:p/>
    <w:p>
      <w:r>
        <w:br w:type="page"/>
      </w:r>
    </w:p>
    <w:p>
      <w:pPr>
        <w:pStyle w:val="Heading1"/>
      </w:pPr>
      <w:r>
        <w:t>11. IPU Utilization Metrics</w:t>
      </w:r>
    </w:p>
    <w:p>
      <w:r>
        <w:t>IPU (Informatica Processing Unit) consumption is the primary cost driver for IDMC. Tracking IPU usage by service, mapping, and business unit enables cost optimization and accurate forecasting.</w:t>
      </w:r>
    </w:p>
    <w:p>
      <w:pPr>
        <w:pStyle w:val="Heading2"/>
      </w:pPr>
      <w:r>
        <w:t>11.1 IPU Tracking KPIs</w:t>
      </w:r>
    </w:p>
    <w:tbl>
      <w:tblPr>
        <w:tblStyle w:val="TableGrid"/>
        <w:tblW w:type="auto" w:w="0"/>
        <w:tblLayout w:type="autofit"/>
        <w:tblLook w:firstColumn="1" w:firstRow="1" w:lastColumn="0" w:lastRow="0" w:noHBand="0" w:noVBand="1" w:val="04A0"/>
      </w:tblPr>
      <w:tblGrid>
        <w:gridCol w:w="3135"/>
        <w:gridCol w:w="3135"/>
        <w:gridCol w:w="3135"/>
      </w:tblGrid>
      <w:tr>
        <w:tc>
          <w:tcPr>
            <w:tcW w:type="dxa" w:w="3135"/>
            <w:shd w:fill="0C548A" w:val="clear"/>
          </w:tcPr>
          <w:p>
            <w:r>
              <w:rPr>
                <w:b/>
                <w:color w:val="FFFFFF"/>
                <w:sz w:val="20"/>
              </w:rPr>
              <w:t>KPI</w:t>
            </w:r>
          </w:p>
        </w:tc>
        <w:tc>
          <w:tcPr>
            <w:tcW w:type="dxa" w:w="3135"/>
            <w:shd w:fill="0C548A" w:val="clear"/>
          </w:tcPr>
          <w:p>
            <w:r>
              <w:rPr>
                <w:b/>
                <w:color w:val="FFFFFF"/>
                <w:sz w:val="20"/>
              </w:rPr>
              <w:t>Formula</w:t>
            </w:r>
          </w:p>
        </w:tc>
        <w:tc>
          <w:tcPr>
            <w:tcW w:type="dxa" w:w="3135"/>
            <w:shd w:fill="0C548A" w:val="clear"/>
          </w:tcPr>
          <w:p>
            <w:r>
              <w:rPr>
                <w:b/>
                <w:color w:val="FFFFFF"/>
                <w:sz w:val="20"/>
              </w:rPr>
              <w:t>Target</w:t>
            </w:r>
          </w:p>
        </w:tc>
      </w:tr>
      <w:tr>
        <w:tc>
          <w:tcPr>
            <w:tcW w:type="dxa" w:w="3135"/>
          </w:tcPr>
          <w:p>
            <w:r>
              <w:rPr>
                <w:sz w:val="20"/>
              </w:rPr>
              <w:t>IPU Burn Rate</w:t>
            </w:r>
          </w:p>
        </w:tc>
        <w:tc>
          <w:tcPr>
            <w:tcW w:type="dxa" w:w="3135"/>
          </w:tcPr>
          <w:p>
            <w:r>
              <w:rPr>
                <w:sz w:val="20"/>
              </w:rPr>
              <w:t>IPUs consumed / Time period</w:t>
            </w:r>
          </w:p>
        </w:tc>
        <w:tc>
          <w:tcPr>
            <w:tcW w:type="dxa" w:w="3135"/>
          </w:tcPr>
          <w:p>
            <w:r>
              <w:rPr>
                <w:sz w:val="20"/>
              </w:rPr>
              <w:t>Within 90% of forecast</w:t>
            </w:r>
          </w:p>
        </w:tc>
      </w:tr>
      <w:tr>
        <w:tc>
          <w:tcPr>
            <w:tcW w:type="dxa" w:w="3135"/>
            <w:shd w:fill="F4F6FA" w:val="clear"/>
          </w:tcPr>
          <w:p>
            <w:r>
              <w:rPr>
                <w:sz w:val="20"/>
              </w:rPr>
              <w:t>IPU per Mapping</w:t>
            </w:r>
          </w:p>
        </w:tc>
        <w:tc>
          <w:tcPr>
            <w:tcW w:type="dxa" w:w="3135"/>
            <w:shd w:fill="F4F6FA" w:val="clear"/>
          </w:tcPr>
          <w:p>
            <w:r>
              <w:rPr>
                <w:sz w:val="20"/>
              </w:rPr>
              <w:t>IPUs consumed / Mapping executions</w:t>
            </w:r>
          </w:p>
        </w:tc>
        <w:tc>
          <w:tcPr>
            <w:tcW w:type="dxa" w:w="3135"/>
            <w:shd w:fill="F4F6FA" w:val="clear"/>
          </w:tcPr>
          <w:p>
            <w:r>
              <w:rPr>
                <w:sz w:val="20"/>
              </w:rPr>
              <w:t>Declining trend</w:t>
            </w:r>
          </w:p>
        </w:tc>
      </w:tr>
      <w:tr>
        <w:tc>
          <w:tcPr>
            <w:tcW w:type="dxa" w:w="3135"/>
          </w:tcPr>
          <w:p>
            <w:r>
              <w:rPr>
                <w:sz w:val="20"/>
              </w:rPr>
              <w:t>IPU Budget Variance</w:t>
            </w:r>
          </w:p>
        </w:tc>
        <w:tc>
          <w:tcPr>
            <w:tcW w:type="dxa" w:w="3135"/>
          </w:tcPr>
          <w:p>
            <w:r>
              <w:rPr>
                <w:sz w:val="20"/>
              </w:rPr>
              <w:t>(Actual - Budget) / Budget</w:t>
            </w:r>
          </w:p>
        </w:tc>
        <w:tc>
          <w:tcPr>
            <w:tcW w:type="dxa" w:w="3135"/>
          </w:tcPr>
          <w:p>
            <w:r>
              <w:rPr>
                <w:sz w:val="20"/>
              </w:rPr>
              <w:t>+/- 10%</w:t>
            </w:r>
          </w:p>
        </w:tc>
      </w:tr>
      <w:tr>
        <w:tc>
          <w:tcPr>
            <w:tcW w:type="dxa" w:w="3135"/>
            <w:shd w:fill="F4F6FA" w:val="clear"/>
          </w:tcPr>
          <w:p>
            <w:r>
              <w:rPr>
                <w:sz w:val="20"/>
              </w:rPr>
              <w:t>Peak IPU Utilization</w:t>
            </w:r>
          </w:p>
        </w:tc>
        <w:tc>
          <w:tcPr>
            <w:tcW w:type="dxa" w:w="3135"/>
            <w:shd w:fill="F4F6FA" w:val="clear"/>
          </w:tcPr>
          <w:p>
            <w:r>
              <w:rPr>
                <w:sz w:val="20"/>
              </w:rPr>
              <w:t>Max hourly IPU / Allocated IPU</w:t>
            </w:r>
          </w:p>
        </w:tc>
        <w:tc>
          <w:tcPr>
            <w:tcW w:type="dxa" w:w="3135"/>
            <w:shd w:fill="F4F6FA" w:val="clear"/>
          </w:tcPr>
          <w:p>
            <w:r>
              <w:rPr>
                <w:sz w:val="20"/>
              </w:rPr>
              <w:t>&lt; 85%</w:t>
            </w:r>
          </w:p>
        </w:tc>
      </w:tr>
      <w:tr>
        <w:tc>
          <w:tcPr>
            <w:tcW w:type="dxa" w:w="3135"/>
          </w:tcPr>
          <w:p>
            <w:r>
              <w:rPr>
                <w:sz w:val="20"/>
              </w:rPr>
              <w:t>IPU by Service</w:t>
            </w:r>
          </w:p>
        </w:tc>
        <w:tc>
          <w:tcPr>
            <w:tcW w:type="dxa" w:w="3135"/>
          </w:tcPr>
          <w:p>
            <w:r>
              <w:rPr>
                <w:sz w:val="20"/>
              </w:rPr>
              <w:t>IPU by CDI, DQ, Mass Ingestion, etc.</w:t>
            </w:r>
          </w:p>
        </w:tc>
        <w:tc>
          <w:tcPr>
            <w:tcW w:type="dxa" w:w="3135"/>
          </w:tcPr>
          <w:p>
            <w:r>
              <w:rPr>
                <w:sz w:val="20"/>
              </w:rPr>
              <w:t>Per allocation plan</w:t>
            </w:r>
          </w:p>
        </w:tc>
      </w:tr>
    </w:tbl>
    <w:p/>
    <w:p>
      <w:pPr>
        <w:shd w:fill="FFF3E0" w:val="clear"/>
        <w:pBdr>
          <w:top w:val="single" w:sz="4" w:space="4" w:color="FF9800"/>
          <w:left w:val="single" w:sz="12" w:space="4" w:color="FF9800"/>
          <w:right w:val="single" w:sz="4" w:space="4" w:color="FF9800"/>
        </w:pBdr>
        <w:spacing w:after="0"/>
        <w:ind w:left="432" w:right="432"/>
      </w:pPr>
      <w:r>
        <w:rPr>
          <w:b/>
          <w:color w:val="FF9800"/>
          <w:sz w:val="20"/>
        </w:rPr>
        <w:t xml:space="preserve">  WARNING</w:t>
      </w:r>
    </w:p>
    <w:p>
      <w:pPr>
        <w:shd w:fill="FFF3E0" w:val="clear"/>
        <w:pBdr>
          <w:bottom w:val="single" w:sz="4" w:space="4" w:color="FF9800"/>
          <w:left w:val="single" w:sz="12" w:space="4" w:color="FF9800"/>
          <w:right w:val="single" w:sz="4" w:space="4" w:color="FF9800"/>
        </w:pBdr>
        <w:spacing w:before="0"/>
        <w:ind w:left="432" w:right="432"/>
      </w:pPr>
      <w:r>
        <w:rPr>
          <w:color w:val="4B5563"/>
          <w:sz w:val="20"/>
        </w:rPr>
        <w:t xml:space="preserve">  Monitor IPU consumption daily during initial deployment. Unexpected spikes can exhaust annual allocations within weeks if complex mappings run without optimization.</w:t>
      </w:r>
    </w:p>
    <w:p/>
    <w:p>
      <w:r>
        <w:br w:type="page"/>
      </w:r>
    </w:p>
    <w:p>
      <w:pPr>
        <w:pStyle w:val="Heading1"/>
      </w:pPr>
      <w:r>
        <w:t>12. Time-to-Value Tracking</w:t>
      </w:r>
    </w:p>
    <w:p>
      <w:r>
        <w:t>Time-to-Value (TTV) measures the elapsed time from project initiation to the point where measurable business value is realized. Shorter TTV indicates better program execution and stakeholder alignment.</w:t>
      </w:r>
    </w:p>
    <w:p>
      <w:pPr>
        <w:pStyle w:val="Heading2"/>
      </w:pPr>
      <w:r>
        <w:t>12.1 TTV Milestones</w:t>
      </w:r>
    </w:p>
    <w:tbl>
      <w:tblPr>
        <w:tblStyle w:val="TableGrid"/>
        <w:tblW w:type="auto" w:w="0"/>
        <w:tblLayout w:type="autofit"/>
        <w:tblLook w:firstColumn="1" w:firstRow="1" w:lastColumn="0" w:lastRow="0" w:noHBand="0" w:noVBand="1" w:val="04A0"/>
      </w:tblPr>
      <w:tblGrid>
        <w:gridCol w:w="2351"/>
        <w:gridCol w:w="2351"/>
        <w:gridCol w:w="2351"/>
        <w:gridCol w:w="2351"/>
      </w:tblGrid>
      <w:tr>
        <w:tc>
          <w:tcPr>
            <w:tcW w:type="dxa" w:w="2351"/>
            <w:shd w:fill="0C548A" w:val="clear"/>
          </w:tcPr>
          <w:p>
            <w:r>
              <w:rPr>
                <w:b/>
                <w:color w:val="FFFFFF"/>
                <w:sz w:val="20"/>
              </w:rPr>
              <w:t>Milestone</w:t>
            </w:r>
          </w:p>
        </w:tc>
        <w:tc>
          <w:tcPr>
            <w:tcW w:type="dxa" w:w="2351"/>
            <w:shd w:fill="0C548A" w:val="clear"/>
          </w:tcPr>
          <w:p>
            <w:r>
              <w:rPr>
                <w:b/>
                <w:color w:val="FFFFFF"/>
                <w:sz w:val="20"/>
              </w:rPr>
              <w:t>Typical TTV</w:t>
            </w:r>
          </w:p>
        </w:tc>
        <w:tc>
          <w:tcPr>
            <w:tcW w:type="dxa" w:w="2351"/>
            <w:shd w:fill="0C548A" w:val="clear"/>
          </w:tcPr>
          <w:p>
            <w:r>
              <w:rPr>
                <w:b/>
                <w:color w:val="FFFFFF"/>
                <w:sz w:val="20"/>
              </w:rPr>
              <w:t>Accelerated TTV</w:t>
            </w:r>
          </w:p>
        </w:tc>
        <w:tc>
          <w:tcPr>
            <w:tcW w:type="dxa" w:w="2351"/>
            <w:shd w:fill="0C548A" w:val="clear"/>
          </w:tcPr>
          <w:p>
            <w:r>
              <w:rPr>
                <w:b/>
                <w:color w:val="FFFFFF"/>
                <w:sz w:val="20"/>
              </w:rPr>
              <w:t>Enabler</w:t>
            </w:r>
          </w:p>
        </w:tc>
      </w:tr>
      <w:tr>
        <w:tc>
          <w:tcPr>
            <w:tcW w:type="dxa" w:w="2351"/>
          </w:tcPr>
          <w:p>
            <w:r>
              <w:rPr>
                <w:sz w:val="20"/>
              </w:rPr>
              <w:t>First mapping in production</w:t>
            </w:r>
          </w:p>
        </w:tc>
        <w:tc>
          <w:tcPr>
            <w:tcW w:type="dxa" w:w="2351"/>
          </w:tcPr>
          <w:p>
            <w:r>
              <w:rPr>
                <w:sz w:val="20"/>
              </w:rPr>
              <w:t>6-8 weeks</w:t>
            </w:r>
          </w:p>
        </w:tc>
        <w:tc>
          <w:tcPr>
            <w:tcW w:type="dxa" w:w="2351"/>
          </w:tcPr>
          <w:p>
            <w:r>
              <w:rPr>
                <w:sz w:val="20"/>
              </w:rPr>
              <w:t>3-4 weeks</w:t>
            </w:r>
          </w:p>
        </w:tc>
        <w:tc>
          <w:tcPr>
            <w:tcW w:type="dxa" w:w="2351"/>
          </w:tcPr>
          <w:p>
            <w:r>
              <w:rPr>
                <w:sz w:val="20"/>
              </w:rPr>
              <w:t>Pre-built templates</w:t>
            </w:r>
          </w:p>
        </w:tc>
      </w:tr>
      <w:tr>
        <w:tc>
          <w:tcPr>
            <w:tcW w:type="dxa" w:w="2351"/>
            <w:shd w:fill="F4F6FA" w:val="clear"/>
          </w:tcPr>
          <w:p>
            <w:r>
              <w:rPr>
                <w:sz w:val="20"/>
              </w:rPr>
              <w:t>First data quality dashboard</w:t>
            </w:r>
          </w:p>
        </w:tc>
        <w:tc>
          <w:tcPr>
            <w:tcW w:type="dxa" w:w="2351"/>
            <w:shd w:fill="F4F6FA" w:val="clear"/>
          </w:tcPr>
          <w:p>
            <w:r>
              <w:rPr>
                <w:sz w:val="20"/>
              </w:rPr>
              <w:t>8-10 weeks</w:t>
            </w:r>
          </w:p>
        </w:tc>
        <w:tc>
          <w:tcPr>
            <w:tcW w:type="dxa" w:w="2351"/>
            <w:shd w:fill="F4F6FA" w:val="clear"/>
          </w:tcPr>
          <w:p>
            <w:r>
              <w:rPr>
                <w:sz w:val="20"/>
              </w:rPr>
              <w:t>4-6 weeks</w:t>
            </w:r>
          </w:p>
        </w:tc>
        <w:tc>
          <w:tcPr>
            <w:tcW w:type="dxa" w:w="2351"/>
            <w:shd w:fill="F4F6FA" w:val="clear"/>
          </w:tcPr>
          <w:p>
            <w:r>
              <w:rPr>
                <w:sz w:val="20"/>
              </w:rPr>
              <w:t>IDMC DQ accelerators</w:t>
            </w:r>
          </w:p>
        </w:tc>
      </w:tr>
      <w:tr>
        <w:tc>
          <w:tcPr>
            <w:tcW w:type="dxa" w:w="2351"/>
          </w:tcPr>
          <w:p>
            <w:r>
              <w:rPr>
                <w:sz w:val="20"/>
              </w:rPr>
              <w:t>First business report from IDMC data</w:t>
            </w:r>
          </w:p>
        </w:tc>
        <w:tc>
          <w:tcPr>
            <w:tcW w:type="dxa" w:w="2351"/>
          </w:tcPr>
          <w:p>
            <w:r>
              <w:rPr>
                <w:sz w:val="20"/>
              </w:rPr>
              <w:t>10-12 weeks</w:t>
            </w:r>
          </w:p>
        </w:tc>
        <w:tc>
          <w:tcPr>
            <w:tcW w:type="dxa" w:w="2351"/>
          </w:tcPr>
          <w:p>
            <w:r>
              <w:rPr>
                <w:sz w:val="20"/>
              </w:rPr>
              <w:t>6-8 weeks</w:t>
            </w:r>
          </w:p>
        </w:tc>
        <w:tc>
          <w:tcPr>
            <w:tcW w:type="dxa" w:w="2351"/>
          </w:tcPr>
          <w:p>
            <w:r>
              <w:rPr>
                <w:sz w:val="20"/>
              </w:rPr>
              <w:t>Agile delivery</w:t>
            </w:r>
          </w:p>
        </w:tc>
      </w:tr>
      <w:tr>
        <w:tc>
          <w:tcPr>
            <w:tcW w:type="dxa" w:w="2351"/>
            <w:shd w:fill="F4F6FA" w:val="clear"/>
          </w:tcPr>
          <w:p>
            <w:r>
              <w:rPr>
                <w:sz w:val="20"/>
              </w:rPr>
              <w:t>Full pipeline portfolio live</w:t>
            </w:r>
          </w:p>
        </w:tc>
        <w:tc>
          <w:tcPr>
            <w:tcW w:type="dxa" w:w="2351"/>
            <w:shd w:fill="F4F6FA" w:val="clear"/>
          </w:tcPr>
          <w:p>
            <w:r>
              <w:rPr>
                <w:sz w:val="20"/>
              </w:rPr>
              <w:t>16-24 weeks</w:t>
            </w:r>
          </w:p>
        </w:tc>
        <w:tc>
          <w:tcPr>
            <w:tcW w:type="dxa" w:w="2351"/>
            <w:shd w:fill="F4F6FA" w:val="clear"/>
          </w:tcPr>
          <w:p>
            <w:r>
              <w:rPr>
                <w:sz w:val="20"/>
              </w:rPr>
              <w:t>10-16 weeks</w:t>
            </w:r>
          </w:p>
        </w:tc>
        <w:tc>
          <w:tcPr>
            <w:tcW w:type="dxa" w:w="2351"/>
            <w:shd w:fill="F4F6FA" w:val="clear"/>
          </w:tcPr>
          <w:p>
            <w:r>
              <w:rPr>
                <w:sz w:val="20"/>
              </w:rPr>
              <w:t>Phased rollout</w:t>
            </w:r>
          </w:p>
        </w:tc>
      </w:tr>
      <w:tr>
        <w:tc>
          <w:tcPr>
            <w:tcW w:type="dxa" w:w="2351"/>
          </w:tcPr>
          <w:p>
            <w:r>
              <w:rPr>
                <w:sz w:val="20"/>
              </w:rPr>
              <w:t>Positive ROI demonstrated</w:t>
            </w:r>
          </w:p>
        </w:tc>
        <w:tc>
          <w:tcPr>
            <w:tcW w:type="dxa" w:w="2351"/>
          </w:tcPr>
          <w:p>
            <w:r>
              <w:rPr>
                <w:sz w:val="20"/>
              </w:rPr>
              <w:t>6-9 months</w:t>
            </w:r>
          </w:p>
        </w:tc>
        <w:tc>
          <w:tcPr>
            <w:tcW w:type="dxa" w:w="2351"/>
          </w:tcPr>
          <w:p>
            <w:r>
              <w:rPr>
                <w:sz w:val="20"/>
              </w:rPr>
              <w:t>4-6 months</w:t>
            </w:r>
          </w:p>
        </w:tc>
        <w:tc>
          <w:tcPr>
            <w:tcW w:type="dxa" w:w="2351"/>
          </w:tcPr>
          <w:p>
            <w:r>
              <w:rPr>
                <w:sz w:val="20"/>
              </w:rPr>
              <w:t>Quick wins strategy</w:t>
            </w:r>
          </w:p>
        </w:tc>
      </w:tr>
    </w:tbl>
    <w:p/>
    <w:p>
      <w:pPr>
        <w:pStyle w:val="Heading2"/>
      </w:pPr>
      <w:r>
        <w:t>12.2 Accelerating Time-to-Value</w:t>
      </w:r>
    </w:p>
    <w:p>
      <w:pPr>
        <w:pStyle w:val="ListBullet"/>
      </w:pPr>
      <w:r>
        <w:t>Prioritize high-impact, low-complexity use cases for early delivery</w:t>
      </w:r>
    </w:p>
    <w:p>
      <w:pPr>
        <w:pStyle w:val="ListBullet"/>
      </w:pPr>
      <w:r>
        <w:t>Use Informatica pre-built connectors and templates to reduce development time</w:t>
      </w:r>
    </w:p>
    <w:p>
      <w:pPr>
        <w:pStyle w:val="ListBullet"/>
      </w:pPr>
      <w:r>
        <w:t>Implement CI/CD pipelines early to accelerate deployment cycles</w:t>
      </w:r>
    </w:p>
    <w:p>
      <w:pPr>
        <w:pStyle w:val="ListBullet"/>
      </w:pPr>
      <w:r>
        <w:t>Establish a reusable asset library from day one</w:t>
      </w:r>
    </w:p>
    <w:p>
      <w:r>
        <w:br w:type="page"/>
      </w:r>
    </w:p>
    <w:p>
      <w:pPr>
        <w:pStyle w:val="Heading1"/>
      </w:pPr>
      <w:r>
        <w:t>Related Assets</w:t>
      </w:r>
    </w:p>
    <w:p>
      <w:r>
        <w:t>The following documents in the Mastech Digital Informatica Asset Library are related to this guide:</w:t>
      </w:r>
    </w:p>
    <w:tbl>
      <w:tblPr>
        <w:tblStyle w:val="TableGrid"/>
        <w:tblW w:type="auto" w:w="0"/>
        <w:tblLook w:firstColumn="1" w:firstRow="1" w:lastColumn="0" w:lastRow="0" w:noHBand="0" w:noVBand="1" w:val="04A0"/>
      </w:tblPr>
      <w:tblGrid>
        <w:gridCol w:w="4703"/>
        <w:gridCol w:w="4703"/>
      </w:tblGrid>
      <w:tr>
        <w:tc>
          <w:tcPr>
            <w:tcW w:type="dxa" w:w="4703"/>
            <w:shd w:fill="0C548A" w:val="clear"/>
          </w:tcPr>
          <w:p>
            <w:r>
              <w:rPr>
                <w:b/>
                <w:color w:val="FFFFFF"/>
                <w:sz w:val="20"/>
              </w:rPr>
              <w:t>Document</w:t>
            </w:r>
          </w:p>
        </w:tc>
        <w:tc>
          <w:tcPr>
            <w:tcW w:type="dxa" w:w="4703"/>
            <w:shd w:fill="0C548A" w:val="clear"/>
          </w:tcPr>
          <w:p>
            <w:r>
              <w:rPr>
                <w:b/>
                <w:color w:val="FFFFFF"/>
                <w:sz w:val="20"/>
              </w:rPr>
              <w:t>Category / Path</w:t>
            </w:r>
          </w:p>
        </w:tc>
      </w:tr>
      <w:tr>
        <w:tc>
          <w:tcPr>
            <w:tcW w:type="dxa" w:w="4703"/>
          </w:tcPr>
          <w:p>
            <w:r>
              <w:rPr>
                <w:sz w:val="20"/>
              </w:rPr>
              <w:t>GOV_Scope_Change_Control_Process.docx</w:t>
            </w:r>
          </w:p>
        </w:tc>
        <w:tc>
          <w:tcPr>
            <w:tcW w:type="dxa" w:w="4703"/>
          </w:tcPr>
          <w:p>
            <w:r>
              <w:rPr>
                <w:sz w:val="20"/>
              </w:rPr>
              <w:t>Governance Library</w:t>
            </w:r>
          </w:p>
        </w:tc>
      </w:tr>
      <w:tr>
        <w:tc>
          <w:tcPr>
            <w:tcW w:type="dxa" w:w="4703"/>
            <w:shd w:fill="F4F6FA" w:val="clear"/>
          </w:tcPr>
          <w:p>
            <w:r>
              <w:rPr>
                <w:sz w:val="20"/>
              </w:rPr>
              <w:t>GOV_Status_Reporting_Templates.docx</w:t>
            </w:r>
          </w:p>
        </w:tc>
        <w:tc>
          <w:tcPr>
            <w:tcW w:type="dxa" w:w="4703"/>
            <w:shd w:fill="F4F6FA" w:val="clear"/>
          </w:tcPr>
          <w:p>
            <w:r>
              <w:rPr>
                <w:sz w:val="20"/>
              </w:rPr>
              <w:t>Governance Library</w:t>
            </w:r>
          </w:p>
        </w:tc>
      </w:tr>
      <w:tr>
        <w:tc>
          <w:tcPr>
            <w:tcW w:type="dxa" w:w="4703"/>
          </w:tcPr>
          <w:p>
            <w:r>
              <w:rPr>
                <w:sz w:val="20"/>
              </w:rPr>
              <w:t>GOV_Stakeholder_Communication_Plan.docx</w:t>
            </w:r>
          </w:p>
        </w:tc>
        <w:tc>
          <w:tcPr>
            <w:tcW w:type="dxa" w:w="4703"/>
          </w:tcPr>
          <w:p>
            <w:r>
              <w:rPr>
                <w:sz w:val="20"/>
              </w:rPr>
              <w:t>Governance Library</w:t>
            </w:r>
          </w:p>
        </w:tc>
      </w:tr>
      <w:tr>
        <w:tc>
          <w:tcPr>
            <w:tcW w:type="dxa" w:w="4703"/>
            <w:shd w:fill="F4F6FA" w:val="clear"/>
          </w:tcPr>
          <w:p>
            <w:r>
              <w:rPr>
                <w:sz w:val="20"/>
              </w:rPr>
              <w:t>PM_Budget_IPU_Forecasting.docx</w:t>
            </w:r>
          </w:p>
        </w:tc>
        <w:tc>
          <w:tcPr>
            <w:tcW w:type="dxa" w:w="4703"/>
            <w:shd w:fill="F4F6FA" w:val="clear"/>
          </w:tcPr>
          <w:p>
            <w:r>
              <w:rPr>
                <w:sz w:val="20"/>
              </w:rPr>
              <w:t>Project Management</w:t>
            </w:r>
          </w:p>
        </w:tc>
      </w:tr>
      <w:tr>
        <w:tc>
          <w:tcPr>
            <w:tcW w:type="dxa" w:w="4703"/>
          </w:tcPr>
          <w:p>
            <w:r>
              <w:rPr>
                <w:sz w:val="20"/>
              </w:rPr>
              <w:t>TA_IDMC_Performance_Tuning_Guide.docx</w:t>
            </w:r>
          </w:p>
        </w:tc>
        <w:tc>
          <w:tcPr>
            <w:tcW w:type="dxa" w:w="4703"/>
          </w:tcPr>
          <w:p>
            <w:r>
              <w:rPr>
                <w:sz w:val="20"/>
              </w:rPr>
              <w:t>Technical Architecture</w:t>
            </w:r>
          </w:p>
        </w:tc>
      </w:tr>
    </w:tbl>
    <w:p/>
    <w:sectPr w:rsidR="00FC693F" w:rsidRPr="0006063C" w:rsidSect="00034616">
      <w:footerReference w:type="default" r:id="rId9"/>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2026 Mastech Digital | Informatica Platform Assets | Confidential</w:t>
    </w:r>
    <w:r>
      <w:rPr>
        <w:color w:val="999999"/>
        <w:sz w:val="16"/>
      </w:rPr>
      <w:t xml:space="preserve"> | Page </w:t>
    </w:r>
    <w:r>
      <w:fldChar w:fldCharType="begin"/>
    </w:r>
    <w:r>
      <w:instrText xml:space="preserve"> PAGE </w:instrText>
    </w:r>
    <w:r>
      <w:fldChar w:fldCharType="end"/>
    </w:r>
    <w:r>
      <w:rPr>
        <w:color w:val="999999"/>
        <w:sz w:val="16"/>
      </w:rPr>
      <w:t xml:space="preserve"> of </w:t>
    </w:r>
    <w:r>
      <w:fldChar w:fldCharType="begin"/>
    </w:r>
    <w:r>
      <w:instrText xml:space="preserve"> NUMPAGES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C548A"/>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C548A"/>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C548A"/>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