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Project Governance Framework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Defines the governance structure, decision-making authority, and oversight cadence for Informatica IDMC implementation projects.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Project Governance Framework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#48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This document establishes the governance framework for Informatica IDMC projects at Mastech Digital. It defines roles, responsibilities, decision-making authority, steering committee operations, escalation paths, and gate reviews that ensure projects are delivered on time, within scope, and aligned to business objectives. A robust governance model reduces risk, improves stakeholder confidence, and provides clear accountability at every phase of the project lifecycle.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Governance Structure</w:t>
      </w:r>
    </w:p>
    <w:p>
      <w:pPr>
        <w:spacing w:after="60"/>
      </w:pPr>
      <w:r>
        <w:rPr>
          <w:color w:val="0C548A"/>
          <w:sz w:val="22"/>
        </w:rPr>
        <w:t>2.0  RACI Matrix</w:t>
      </w:r>
    </w:p>
    <w:p>
      <w:pPr>
        <w:spacing w:after="60"/>
      </w:pPr>
      <w:r>
        <w:rPr>
          <w:color w:val="0C548A"/>
          <w:sz w:val="22"/>
        </w:rPr>
        <w:t>3.0  Decision-Making Authority</w:t>
      </w:r>
    </w:p>
    <w:p>
      <w:pPr>
        <w:spacing w:after="60"/>
      </w:pPr>
      <w:r>
        <w:rPr>
          <w:color w:val="0C548A"/>
          <w:sz w:val="22"/>
        </w:rPr>
        <w:t>4.0  Steering Committee Charter</w:t>
      </w:r>
    </w:p>
    <w:p>
      <w:pPr>
        <w:spacing w:after="60"/>
      </w:pPr>
      <w:r>
        <w:rPr>
          <w:color w:val="0C548A"/>
          <w:sz w:val="22"/>
        </w:rPr>
        <w:t>5.0  Governance Cadence</w:t>
      </w:r>
    </w:p>
    <w:p>
      <w:pPr>
        <w:spacing w:after="60"/>
      </w:pPr>
      <w:r>
        <w:rPr>
          <w:color w:val="0C548A"/>
          <w:sz w:val="22"/>
        </w:rPr>
        <w:t>6.0  Escalation Paths</w:t>
      </w:r>
    </w:p>
    <w:p>
      <w:pPr>
        <w:spacing w:after="60"/>
      </w:pPr>
      <w:r>
        <w:rPr>
          <w:color w:val="0C548A"/>
          <w:sz w:val="22"/>
        </w:rPr>
        <w:t>7.0  Gate Reviews</w:t>
      </w:r>
    </w:p>
    <w:p>
      <w:pPr>
        <w:spacing w:after="60"/>
      </w:pPr>
      <w:r>
        <w:rPr>
          <w:color w:val="0C548A"/>
          <w:sz w:val="22"/>
        </w:rPr>
        <w:t>8.0  Compliance Checkpoints</w:t>
      </w:r>
    </w:p>
    <w:p>
      <w:pPr>
        <w:spacing w:after="60"/>
      </w:pPr>
      <w:r>
        <w:rPr>
          <w:color w:val="0C548A"/>
          <w:sz w:val="22"/>
        </w:rPr>
        <w:t>9.0  Stakeholder Roles</w:t>
      </w:r>
    </w:p>
    <w:p>
      <w:pPr>
        <w:spacing w:after="60"/>
      </w:pPr>
      <w:r>
        <w:rPr>
          <w:color w:val="0C548A"/>
          <w:sz w:val="22"/>
        </w:rPr>
        <w:t>10.0  Governance Tools &amp; Templates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Project charter or statement of work (SOW) approved</w:t>
      </w:r>
    </w:p>
    <w:p>
      <w:pPr>
        <w:pStyle w:val="ListBullet"/>
      </w:pPr>
      <w:r>
        <w:t>IDMC organization and sub-organization provisioned</w:t>
      </w:r>
    </w:p>
    <w:p>
      <w:pPr>
        <w:pStyle w:val="ListBullet"/>
      </w:pPr>
      <w:r>
        <w:t>Stakeholder list identified and confirmed</w:t>
      </w:r>
    </w:p>
    <w:p>
      <w:pPr>
        <w:pStyle w:val="ListBullet"/>
      </w:pPr>
      <w:r>
        <w:t>Access to project management tooling (Jira, Azure DevOps, or equivalent)</w:t>
      </w:r>
    </w:p>
    <w:p/>
    <w:p>
      <w:pPr>
        <w:pStyle w:val="Heading1"/>
      </w:pPr>
      <w:r>
        <w:t>1. Governance Structure</w:t>
      </w:r>
    </w:p>
    <w:p>
      <w:r>
        <w:t>The governance structure for Informatica IDMC projects follows a three-tier model designed to provide strategic oversight, tactical management, and operational execution accountability.</w:t>
      </w:r>
    </w:p>
    <w:p>
      <w:pPr>
        <w:pStyle w:val="Heading2"/>
      </w:pPr>
      <w:r>
        <w:t>1.1 Three-Tier Governance Model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Tier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Body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Focus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Strategic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Portfolio alignment, risk escalation, funding decisions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Tactical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Project Management Office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Biweekly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Scope, schedule, budget tracking, cross-project dependencies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Operational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Delivery Team Leads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Weekly / Daily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Sprint execution, technical decisions, impediment removal</w:t>
            </w:r>
          </w:p>
        </w:tc>
      </w:tr>
    </w:tbl>
    <w:p/>
    <w:p>
      <w:r>
        <w:t>Each tier has defined authority boundaries. Decisions that exceed the authority of a given tier are escalated upward through predefined channels.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Establish the governance structure during project kickoff and document it in the project charter. All stakeholders should acknowledge the governance model before development begins.</w:t>
      </w:r>
    </w:p>
    <w:p/>
    <w:p>
      <w:r>
        <w:br w:type="page"/>
      </w:r>
    </w:p>
    <w:p>
      <w:pPr>
        <w:pStyle w:val="Heading1"/>
      </w:pPr>
      <w:r>
        <w:t>2. RACI Matrix</w:t>
      </w:r>
    </w:p>
    <w:p>
      <w:r>
        <w:t>The RACI matrix clarifies who is Responsible, Accountable, Consulted, and Informed for each key project activity. This eliminates ambiguity and prevents both gaps and overlaps in ownership.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Sponsor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PM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Tech Lead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Developer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QA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Business SME</w:t>
            </w:r>
          </w:p>
        </w:tc>
      </w:tr>
      <w:tr>
        <w:tc>
          <w:tcPr>
            <w:tcW w:type="dxa" w:w="1344"/>
          </w:tcPr>
          <w:p>
            <w:r>
              <w:rPr>
                <w:sz w:val="20"/>
              </w:rPr>
              <w:t>Requirements Sign-off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Architecture Design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A/R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1344"/>
          </w:tcPr>
          <w:p>
            <w:r>
              <w:rPr>
                <w:sz w:val="20"/>
              </w:rPr>
              <w:t>Mapping Development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A/R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Test Strategy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A/R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344"/>
          </w:tcPr>
          <w:p>
            <w:r>
              <w:rPr>
                <w:sz w:val="20"/>
              </w:rPr>
              <w:t>UAT Approval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R</w:t>
            </w:r>
          </w:p>
        </w:tc>
      </w:tr>
      <w:tr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Production Deployment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1344"/>
          </w:tcPr>
          <w:p>
            <w:r>
              <w:rPr>
                <w:sz w:val="20"/>
              </w:rPr>
              <w:t>Change Requests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Risk Escalation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</w:t>
            </w:r>
          </w:p>
        </w:tc>
      </w:tr>
    </w:tbl>
    <w:p/>
    <w:p>
      <w:r>
        <w:rPr>
          <w:i/>
        </w:rPr>
        <w:t>R = Responsible | A = Accountable | C = Consulted | I = Informed</w:t>
      </w:r>
    </w:p>
    <w:p>
      <w:r>
        <w:br w:type="page"/>
      </w:r>
    </w:p>
    <w:p>
      <w:pPr>
        <w:pStyle w:val="Heading1"/>
      </w:pPr>
      <w:r>
        <w:t>3. Decision-Making Authority</w:t>
      </w:r>
    </w:p>
    <w:p>
      <w:r>
        <w:t>Clear decision-making authority prevents bottlenecks and ensures timely resolution of project issues. Authority is delegated based on the impact and scope of the decision.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Decision Type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Authority Level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Approval Required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Turnaround SLA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Technical design choices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Same day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Minor scope adjustments (&lt;5% effort)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PM approval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 business days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Major scope changes (&gt;5% effort)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Sponsor + PM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 week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Budget reallocation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Sponsor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 week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Timeline extension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PMO + Sponsor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Sponsor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 business days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Vendor/tool changes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Sponsor + CTO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 weeks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Decisions made outside the delegated authority matrix may be reversed by the steering committee. Always verify the authority level before committing to changes.</w:t>
      </w:r>
    </w:p>
    <w:p/>
    <w:p>
      <w:r>
        <w:br w:type="page"/>
      </w:r>
    </w:p>
    <w:p>
      <w:pPr>
        <w:pStyle w:val="Heading1"/>
      </w:pPr>
      <w:r>
        <w:t>4. Steering Committee Charter</w:t>
      </w:r>
    </w:p>
    <w:p>
      <w:r>
        <w:t>The Steering Committee provides strategic oversight and is the highest escalation point for the project. It ensures alignment between the project and business objectives.</w:t>
      </w:r>
    </w:p>
    <w:p>
      <w:pPr>
        <w:pStyle w:val="Heading2"/>
      </w:pPr>
      <w:r>
        <w:t>4.1 Composition</w:t>
      </w:r>
    </w:p>
    <w:p>
      <w:pPr>
        <w:pStyle w:val="ListBullet"/>
      </w:pPr>
      <w:r>
        <w:t>Executive Sponsor (Chair)</w:t>
      </w:r>
    </w:p>
    <w:p>
      <w:pPr>
        <w:pStyle w:val="ListBullet"/>
      </w:pPr>
      <w:r>
        <w:t>Business Unit Leader(s)</w:t>
      </w:r>
    </w:p>
    <w:p>
      <w:pPr>
        <w:pStyle w:val="ListBullet"/>
      </w:pPr>
      <w:r>
        <w:t>IT Director / CTO Representative</w:t>
      </w:r>
    </w:p>
    <w:p>
      <w:pPr>
        <w:pStyle w:val="ListBullet"/>
      </w:pPr>
      <w:r>
        <w:t>Program Manager</w:t>
      </w:r>
    </w:p>
    <w:p>
      <w:pPr>
        <w:pStyle w:val="ListBullet"/>
      </w:pPr>
      <w:r>
        <w:t>Informatica Practice Lead (Mastech Digital)</w:t>
      </w:r>
    </w:p>
    <w:p>
      <w:pPr>
        <w:pStyle w:val="Heading2"/>
      </w:pPr>
      <w:r>
        <w:t>4.2 Responsibilities</w:t>
      </w:r>
    </w:p>
    <w:p>
      <w:pPr>
        <w:pStyle w:val="ListBullet"/>
      </w:pPr>
      <w:r>
        <w:t>Approve major scope changes and budget reallocations</w:t>
      </w:r>
    </w:p>
    <w:p>
      <w:pPr>
        <w:pStyle w:val="ListBullet"/>
      </w:pPr>
      <w:r>
        <w:t>Resolve cross-functional conflicts and escalations</w:t>
      </w:r>
    </w:p>
    <w:p>
      <w:pPr>
        <w:pStyle w:val="ListBullet"/>
      </w:pPr>
      <w:r>
        <w:t>Review and accept gate review outcomes</w:t>
      </w:r>
    </w:p>
    <w:p>
      <w:pPr>
        <w:pStyle w:val="ListBullet"/>
      </w:pPr>
      <w:r>
        <w:t>Provide strategic direction on project priorities</w:t>
      </w:r>
    </w:p>
    <w:p>
      <w:pPr>
        <w:pStyle w:val="ListBullet"/>
      </w:pPr>
      <w:r>
        <w:t>Authorize production go-live decisions</w:t>
      </w:r>
    </w:p>
    <w:p>
      <w:pPr>
        <w:pStyle w:val="Heading2"/>
      </w:pPr>
      <w:r>
        <w:t>4.3 Meeting Protocol</w:t>
      </w:r>
    </w:p>
    <w:p>
      <w:pPr>
        <w:pStyle w:val="ListBullet"/>
      </w:pPr>
      <w:r>
        <w:t>Cadence: Monthly (ad hoc meetings for critical escalations)</w:t>
      </w:r>
    </w:p>
    <w:p>
      <w:pPr>
        <w:pStyle w:val="ListBullet"/>
      </w:pPr>
      <w:r>
        <w:t>Quorum: At least 3 of 5 members including the Sponsor</w:t>
      </w:r>
    </w:p>
    <w:p>
      <w:pPr>
        <w:pStyle w:val="ListBullet"/>
      </w:pPr>
      <w:r>
        <w:t>Agenda distributed 3 business days prior to meeting</w:t>
      </w:r>
    </w:p>
    <w:p>
      <w:pPr>
        <w:pStyle w:val="ListBullet"/>
      </w:pPr>
      <w:r>
        <w:t>Minutes published within 2 business days after meeting</w:t>
      </w:r>
    </w:p>
    <w:p>
      <w:pPr>
        <w:pStyle w:val="ListBullet"/>
      </w:pPr>
      <w:r>
        <w:t>Action items tracked in project management tool</w:t>
      </w:r>
    </w:p>
    <w:p>
      <w:r>
        <w:br w:type="page"/>
      </w:r>
    </w:p>
    <w:p>
      <w:pPr>
        <w:pStyle w:val="Heading1"/>
      </w:pPr>
      <w:r>
        <w:t>5. Governance Cadence</w:t>
      </w:r>
    </w:p>
    <w:p>
      <w:r>
        <w:t>Regular governance touchpoints ensure the project remains on track and issues are identified early. The cadence aligns with agile sprint cycles.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Meeting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Cadence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Attendees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Daily Standup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Daily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Delivery team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Progress updates, impediment flagging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Sprint Review/Demo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Biweekly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Team + stakeholders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Demonstrate completed work, gather feedback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Sprint Retrospective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Biweekly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Delivery team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Process improvement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PMO Status Review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Biweekly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PM + PMO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Budget, schedule, risk review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Steering members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Strategic oversight, escalation resolution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Gate Review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Per phase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PM + Tech Lead + QA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Phase transition approval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For smaller projects (under 3 months), the PMO status review and steering committee meetings may be combined into a single monthly governance session.</w:t>
      </w:r>
    </w:p>
    <w:p/>
    <w:p>
      <w:r>
        <w:br w:type="page"/>
      </w:r>
    </w:p>
    <w:p>
      <w:pPr>
        <w:pStyle w:val="Heading1"/>
      </w:pPr>
      <w:r>
        <w:t>6. Escalation Paths</w:t>
      </w:r>
    </w:p>
    <w:p>
      <w:r>
        <w:t>Escalation paths provide a structured mechanism to raise issues that cannot be resolved at the current authority level. Timely escalation prevents small issues from becoming project-threatening problems.</w:t>
      </w:r>
    </w:p>
    <w:p>
      <w:pPr>
        <w:pStyle w:val="Heading2"/>
      </w:pPr>
      <w:r>
        <w:t>6.1 Escalation Tiers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Escalated To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Response SLA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Tech Lead / Scrum Master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Technical blocker or team conflict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4 hours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L2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Schedule impact &gt; 2 days or resource constraint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 business day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PMO / Program Manager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Budget impact or cross-project dependency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 business days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L4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Steering Committee / Sponsor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Scope change, strategic risk, or vendor issue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 week</w:t>
            </w:r>
          </w:p>
        </w:tc>
      </w:tr>
    </w:tbl>
    <w:p/>
    <w:p>
      <w:pPr>
        <w:pStyle w:val="Heading2"/>
      </w:pPr>
      <w:r>
        <w:t>6.2 Escalation Procedure</w:t>
      </w:r>
    </w:p>
    <w:p>
      <w:pPr>
        <w:pStyle w:val="ListNumber"/>
      </w:pPr>
      <w:r>
        <w:t>Document the issue with impact assessment and proposed resolution options</w:t>
      </w:r>
    </w:p>
    <w:p>
      <w:pPr>
        <w:pStyle w:val="ListNumber"/>
      </w:pPr>
      <w:r>
        <w:t>Notify the next-level authority via email and project management tool</w:t>
      </w:r>
    </w:p>
    <w:p>
      <w:pPr>
        <w:pStyle w:val="ListNumber"/>
      </w:pPr>
      <w:r>
        <w:t>Schedule a resolution meeting within the SLA window</w:t>
      </w:r>
    </w:p>
    <w:p>
      <w:pPr>
        <w:pStyle w:val="ListNumber"/>
      </w:pPr>
      <w:r>
        <w:t>Document the decision and communicate to all affected parties</w:t>
      </w:r>
    </w:p>
    <w:p>
      <w:pPr>
        <w:pStyle w:val="ListNumber"/>
      </w:pPr>
      <w:r>
        <w:t>Track resolution as an action item until closed</w:t>
      </w:r>
    </w:p>
    <w:p>
      <w:r>
        <w:br w:type="page"/>
      </w:r>
    </w:p>
    <w:p>
      <w:pPr>
        <w:pStyle w:val="Heading1"/>
      </w:pPr>
      <w:r>
        <w:t>7. Gate Reviews</w:t>
      </w:r>
    </w:p>
    <w:p>
      <w:r>
        <w:t>Gate reviews are formal checkpoints that validate project readiness to transition between phases. Each gate has defined entry and exit criteria that must be satisfied before proceeding.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Gate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Phase Transition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Key Criteria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G0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Initiation -&gt; Requirements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Charter approved, team staffed, environments requested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G1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Requirements -&gt; Design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Requirements signed off, scope baseline approved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G2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-&gt; Build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Architecture reviewed, design documents approved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G3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Build -&gt; Test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Code complete, unit tests passed, peer review done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G4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Test -&gt; UAT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System tests passed, defect backlog acceptable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G5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UAT -&gt; Production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UAT signed off, deployment runbook approved, rollback plan validated</w:t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No phase transition may occur without formal gate approval. Bypassing gates requires written Steering Committee authorization and risk acceptance.</w:t>
      </w:r>
    </w:p>
    <w:p/>
    <w:p>
      <w:r>
        <w:br w:type="page"/>
      </w:r>
    </w:p>
    <w:p>
      <w:pPr>
        <w:pStyle w:val="Heading1"/>
      </w:pPr>
      <w:r>
        <w:t>8. Compliance Checkpoints</w:t>
      </w:r>
    </w:p>
    <w:p>
      <w:r>
        <w:t>Compliance checkpoints ensure the project adheres to organizational policies, regulatory requirements, and Informatica platform best practices.</w:t>
      </w:r>
    </w:p>
    <w:p>
      <w:pPr>
        <w:pStyle w:val="ListBullet"/>
      </w:pPr>
      <w:r>
        <w:t>Data Privacy: Verify PII handling aligns with GDPR/CCPA requirements at G1 and G5</w:t>
      </w:r>
    </w:p>
    <w:p>
      <w:pPr>
        <w:pStyle w:val="ListBullet"/>
      </w:pPr>
      <w:r>
        <w:t>Security: Validate connection credentials use Secure Agent vault, not hardcoded values</w:t>
      </w:r>
    </w:p>
    <w:p>
      <w:pPr>
        <w:pStyle w:val="ListBullet"/>
      </w:pPr>
      <w:r>
        <w:t>Licensing: Confirm IPU consumption projections against contracted capacity</w:t>
      </w:r>
    </w:p>
    <w:p>
      <w:pPr>
        <w:pStyle w:val="ListBullet"/>
      </w:pPr>
      <w:r>
        <w:t>Audit Trail: Ensure all design decisions and change requests are documented</w:t>
      </w:r>
    </w:p>
    <w:p>
      <w:pPr>
        <w:pStyle w:val="ListBullet"/>
      </w:pPr>
      <w:r>
        <w:t>Source Control: Verify all exportable assets are committed to Git repository</w:t>
      </w:r>
    </w:p>
    <w:p>
      <w:pPr>
        <w:pStyle w:val="ListBullet"/>
      </w:pPr>
      <w:r>
        <w:t>Naming Standards: Validate all assets follow the organizational naming convention</w:t>
      </w:r>
    </w:p>
    <w:p>
      <w:r>
        <w:br w:type="page"/>
      </w:r>
    </w:p>
    <w:p>
      <w:pPr>
        <w:pStyle w:val="Heading1"/>
      </w:pPr>
      <w:r>
        <w:t>9. Stakeholder Roles</w:t>
      </w:r>
    </w:p>
    <w:p>
      <w:r>
        <w:t>Clear stakeholder role definitions prevent confusion and ensure effective collaboration across teams.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Responsibilities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Time Commitment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Executive Sponsor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Strategic direction, funding approval, escalation resolution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5-10%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Business SME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Requirements validation, UAT execution, data knowledge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25-50%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Planning, tracking, reporting, risk management, stakeholder communication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Technical Lead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Architecture, design decisions, code reviews, technical mentoring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80-100%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Mapping development, unit testing, documentation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QA Engineer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Test planning, execution, defect management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100% during test phases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Release Manager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Deployment coordination, environment management, promotion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As needed</w:t>
            </w:r>
          </w:p>
        </w:tc>
      </w:tr>
    </w:tbl>
    <w:p/>
    <w:p>
      <w:r>
        <w:br w:type="page"/>
      </w:r>
    </w:p>
    <w:p>
      <w:pPr>
        <w:pStyle w:val="Heading1"/>
      </w:pPr>
      <w:r>
        <w:t>10. Governance Tools &amp; Templates</w:t>
      </w:r>
    </w:p>
    <w:p>
      <w:r>
        <w:t>The following tools and templates support governance activities throughout the project lifecycle.</w:t>
      </w:r>
    </w:p>
    <w:p>
      <w:pPr>
        <w:pStyle w:val="Heading2"/>
      </w:pPr>
      <w:r>
        <w:t>10.1 Recommended Tools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Tool Category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Recommended Options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Project Management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Jira, Azure DevOps, Smartsheet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Sprint tracking, backlog management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Source Control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GitHub, Azure Repos, Bitbucket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Version control for IICS assets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Documentation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Confluence, SharePoint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documents, runbooks, meeting notes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Communication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Teams, Slack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Daily standups, escalation channels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Monitoring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IDMC Operations Console, Datadog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Job monitoring, SLA tracking</w:t>
            </w:r>
          </w:p>
        </w:tc>
      </w:tr>
    </w:tbl>
    <w:p/>
    <w:p>
      <w:pPr>
        <w:pStyle w:val="Heading2"/>
      </w:pPr>
      <w:r>
        <w:t>10.2 Governance Templates</w:t>
      </w:r>
    </w:p>
    <w:p>
      <w:pPr>
        <w:pStyle w:val="ListBullet"/>
      </w:pPr>
      <w:r>
        <w:t>Project Charter Template</w:t>
      </w:r>
    </w:p>
    <w:p>
      <w:pPr>
        <w:pStyle w:val="ListBullet"/>
      </w:pPr>
      <w:r>
        <w:t>RACI Matrix Template</w:t>
      </w:r>
    </w:p>
    <w:p>
      <w:pPr>
        <w:pStyle w:val="ListBullet"/>
      </w:pPr>
      <w:r>
        <w:t>Gate Review Checklist</w:t>
      </w:r>
    </w:p>
    <w:p>
      <w:pPr>
        <w:pStyle w:val="ListBullet"/>
      </w:pPr>
      <w:r>
        <w:t>Steering Committee Agenda Template</w:t>
      </w:r>
    </w:p>
    <w:p>
      <w:pPr>
        <w:pStyle w:val="ListBullet"/>
      </w:pPr>
      <w:r>
        <w:t>Escalation Log Template</w:t>
      </w:r>
    </w:p>
    <w:p>
      <w:pPr>
        <w:pStyle w:val="ListBullet"/>
      </w:pPr>
      <w:r>
        <w:t>Risk Register Template</w:t>
      </w:r>
    </w:p>
    <w:p>
      <w:pPr>
        <w:pStyle w:val="ListBullet"/>
      </w:pPr>
      <w:r>
        <w:t>Status Report Template (weekly/biweekly)</w:t>
      </w:r>
    </w:p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Quality Gates &amp; Checkpoints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Governance_Library / #49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Risk Management Playbook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Governance_Library / #50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CI/CD &amp; Environment Promotion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Governance_Library / #51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Naming Standards Guide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Governance_Library / #52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