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Migration Readiness Assessment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Comprehensive readiness assessment framework for PowerCenter to IICS migration programs.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Migration Readiness Assessment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Assessment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Migrating from Informatica PowerCenter (PC) to Informatica Intelligent Cloud Services (IICS) is a multi-dimensional initiative that requires careful evaluation of technical infrastructure, organizational capabilities, licensing models, and stakeholder alignment. This document provides a structured readiness assessment framework that enables organizations to gauge their preparedness across every critical dimension before committing to a full-scale migration.</w:t>
        <w:br/>
        <w:br/>
        <w:t>The assessment covers infrastructure sizing for Secure Agent deployments, skills gap analysis between PC and IICS paradigms, licensing transition from traditional CPU-based models to the IPU consumption framework, and organizational change management. Each dimension is scored on a standardized rubric to produce a composite readiness scorecard.</w:t>
        <w:br/>
        <w:br/>
        <w:t>Special attention is given to regulated industries (BFSI and HCLS) where SOX and HIPAA compliance requirements impose additional constraints on migration planning, execution, and validation.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Readiness Dimensions Overview</w:t>
      </w:r>
    </w:p>
    <w:p>
      <w:pPr>
        <w:spacing w:after="60"/>
      </w:pPr>
      <w:r>
        <w:rPr>
          <w:color w:val="0C548A"/>
          <w:sz w:val="22"/>
        </w:rPr>
        <w:t>2.0  PowerCenter Repository Analysis</w:t>
      </w:r>
    </w:p>
    <w:p>
      <w:pPr>
        <w:spacing w:after="60"/>
      </w:pPr>
      <w:r>
        <w:rPr>
          <w:color w:val="0C548A"/>
          <w:sz w:val="22"/>
        </w:rPr>
        <w:t>3.0  IICS Organization Setup Prerequisites</w:t>
      </w:r>
    </w:p>
    <w:p>
      <w:pPr>
        <w:spacing w:after="60"/>
      </w:pPr>
      <w:r>
        <w:rPr>
          <w:color w:val="0C548A"/>
          <w:sz w:val="22"/>
        </w:rPr>
        <w:t>4.0  Secure Agent Infrastructure Readiness</w:t>
      </w:r>
    </w:p>
    <w:p>
      <w:pPr>
        <w:spacing w:after="60"/>
      </w:pPr>
      <w:r>
        <w:rPr>
          <w:color w:val="0C548A"/>
          <w:sz w:val="22"/>
        </w:rPr>
        <w:t>5.0  Skills Gap Assessment</w:t>
      </w:r>
    </w:p>
    <w:p>
      <w:pPr>
        <w:spacing w:after="60"/>
      </w:pPr>
      <w:r>
        <w:rPr>
          <w:color w:val="0C548A"/>
          <w:sz w:val="22"/>
        </w:rPr>
        <w:t>6.0  Licensing Transition (PC to IICS IPU Model)</w:t>
      </w:r>
    </w:p>
    <w:p>
      <w:pPr>
        <w:spacing w:after="60"/>
      </w:pPr>
      <w:r>
        <w:rPr>
          <w:color w:val="0C548A"/>
          <w:sz w:val="22"/>
        </w:rPr>
        <w:t>7.0  Timeline Estimation Framework</w:t>
      </w:r>
    </w:p>
    <w:p>
      <w:pPr>
        <w:spacing w:after="60"/>
      </w:pPr>
      <w:r>
        <w:rPr>
          <w:color w:val="0C548A"/>
          <w:sz w:val="22"/>
        </w:rPr>
        <w:t>8.0  Risk Assessment &amp; Mitigation</w:t>
      </w:r>
    </w:p>
    <w:p>
      <w:pPr>
        <w:spacing w:after="60"/>
      </w:pPr>
      <w:r>
        <w:rPr>
          <w:color w:val="0C548A"/>
          <w:sz w:val="22"/>
        </w:rPr>
        <w:t>9.0  Stakeholder Readiness Evaluation</w:t>
      </w:r>
    </w:p>
    <w:p>
      <w:pPr>
        <w:spacing w:after="60"/>
      </w:pPr>
      <w:r>
        <w:rPr>
          <w:color w:val="0C548A"/>
          <w:sz w:val="22"/>
        </w:rPr>
        <w:t>10.0  Migration Team Structure</w:t>
      </w:r>
    </w:p>
    <w:p>
      <w:pPr>
        <w:spacing w:after="60"/>
      </w:pPr>
      <w:r>
        <w:rPr>
          <w:color w:val="0C548A"/>
          <w:sz w:val="22"/>
        </w:rPr>
        <w:t>11.0  Readiness Scorecard Template</w:t>
      </w:r>
    </w:p>
    <w:p>
      <w:pPr>
        <w:spacing w:after="60"/>
      </w:pPr>
      <w:r>
        <w:rPr>
          <w:color w:val="0C548A"/>
          <w:sz w:val="22"/>
        </w:rPr>
        <w:t>12.0  Industry-Specific Considerations (BFSI / HCLS)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Access to PowerCenter Repository Manager and Administrator Console</w:t>
      </w:r>
    </w:p>
    <w:p>
      <w:pPr>
        <w:pStyle w:val="ListBullet"/>
      </w:pPr>
      <w:r>
        <w:t>Current PC license entitlements and usage metrics</w:t>
      </w:r>
    </w:p>
    <w:p>
      <w:pPr>
        <w:pStyle w:val="ListBullet"/>
      </w:pPr>
      <w:r>
        <w:t>Infrastructure inventory (servers, OS, network topology)</w:t>
      </w:r>
    </w:p>
    <w:p>
      <w:pPr>
        <w:pStyle w:val="ListBullet"/>
      </w:pPr>
      <w:r>
        <w:t>IICS organization provisioned (trial or production)</w:t>
      </w:r>
    </w:p>
    <w:p>
      <w:pPr>
        <w:pStyle w:val="ListBullet"/>
      </w:pPr>
      <w:r>
        <w:t>Stakeholder contact list and RACI matrix</w:t>
      </w:r>
    </w:p>
    <w:p>
      <w:pPr>
        <w:pStyle w:val="ListBullet"/>
      </w:pPr>
      <w:r>
        <w:t>Existing ETL documentation and data flow diagrams</w:t>
      </w:r>
    </w:p>
    <w:p/>
    <w:p>
      <w:pPr>
        <w:pStyle w:val="Heading1"/>
      </w:pPr>
      <w:r>
        <w:t>1. Readiness Dimensions Overview</w:t>
      </w:r>
    </w:p>
    <w:p>
      <w:r>
        <w:t>Migration readiness must be evaluated across four primary dimensions. Each dimension contains sub-criteria that are independently scored and aggregated into a composite index.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Weight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Infrastructure, connectivity, Secure Agent sizing, network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Organizational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Skills, change management, training plans, team structure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Licensing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IPU estimation, license procurement, contract alignment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Server provisioning, cloud readiness, firewall rules, DNS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25%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Score each sub-criterion on a 1-5 scale. A composite score below 3.0 indicates the organization is NOT ready to begin migration.</w:t>
      </w:r>
    </w:p>
    <w:p/>
    <w:p>
      <w:pPr>
        <w:pStyle w:val="Heading2"/>
      </w:pPr>
      <w:r>
        <w:t>1.1 Technical Readiness Criteria</w:t>
      </w:r>
    </w:p>
    <w:p>
      <w:r>
        <w:t>Technical readiness evaluates the current PowerCenter environment health, IICS target environment provisioning, and connectivity between on-premises and cloud components.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Target Score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PC Repository Health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 orphan objects, consistent folder structure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4+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Network Connectivity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Secure Agent can reach IICS pod, DB sources, targets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Database Compatibility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All source/target DBs supported in IICS connectors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4+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File System Access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Secure Agent host can access all flat file paths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Custom Transformation Inventory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Java/C transforms cataloged for rewrite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3+</w:t>
            </w:r>
          </w:p>
        </w:tc>
      </w:tr>
    </w:tbl>
    <w:p/>
    <w:p>
      <w:pPr>
        <w:pStyle w:val="Heading2"/>
      </w:pPr>
      <w:r>
        <w:t>1.2 Organizational Readiness Criteria</w:t>
      </w:r>
    </w:p>
    <w:p>
      <w:r>
        <w:t>Organizational readiness measures the human and process factors that determine migration success.</w:t>
      </w:r>
    </w:p>
    <w:p>
      <w:pPr>
        <w:pStyle w:val="ListBullet"/>
      </w:pPr>
      <w:r>
        <w:t>Executive sponsorship confirmed and communicated</w:t>
      </w:r>
    </w:p>
    <w:p>
      <w:pPr>
        <w:pStyle w:val="ListBullet"/>
      </w:pPr>
      <w:r>
        <w:t>Migration program manager identified</w:t>
      </w:r>
    </w:p>
    <w:p>
      <w:pPr>
        <w:pStyle w:val="ListBullet"/>
      </w:pPr>
      <w:r>
        <w:t>Developer training plan for IICS CDI/CAI approved</w:t>
      </w:r>
    </w:p>
    <w:p>
      <w:pPr>
        <w:pStyle w:val="ListBullet"/>
      </w:pPr>
      <w:r>
        <w:t>Change management process documented</w:t>
      </w:r>
    </w:p>
    <w:p>
      <w:pPr>
        <w:pStyle w:val="ListBullet"/>
      </w:pPr>
      <w:r>
        <w:t>Communication plan for downstream consumers established</w:t>
      </w:r>
    </w:p>
    <w:p>
      <w:r>
        <w:br w:type="page"/>
      </w:r>
    </w:p>
    <w:p>
      <w:pPr>
        <w:pStyle w:val="Heading1"/>
      </w:pPr>
      <w:r>
        <w:t>2. PowerCenter Repository Analysis</w:t>
      </w:r>
    </w:p>
    <w:p>
      <w:r>
        <w:t>A thorough inventory of the existing PowerCenter repository is the foundation of every migration assessment. The inventory must capture object counts, complexity indicators, and dependency maps.</w:t>
      </w:r>
    </w:p>
    <w:p>
      <w:pPr>
        <w:pStyle w:val="Heading2"/>
      </w:pPr>
      <w:r>
        <w:t>2.1 Inventory Extraction</w:t>
      </w:r>
    </w:p>
    <w:p>
      <w:r>
        <w:t>Use pmrep and repository queries to extract the complete inventory.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Connect to repository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connect -r REPO_NAME -d DOMAIN -n admin -x password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List all folders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List all mappings in a 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mapping -f MY_FOLDER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Export object dependencies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listobjectdependencies -o mapping -n m_Customer_Load -f ETL_PROD -p parents</w:t>
      </w:r>
    </w:p>
    <w:p/>
    <w:p>
      <w:pPr>
        <w:pStyle w:val="Heading2"/>
      </w:pPr>
      <w:r>
        <w:t>2.2 Complexity Distribution</w:t>
      </w:r>
    </w:p>
    <w:p>
      <w:r>
        <w:t>Categorize every mapping by complexity tier based on transformation count, feature usage, and external dependencies.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Tier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Point Range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Expected %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 Characteristics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1-3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Source Qualifier + Expression + Target, no lookups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4-6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Multiple lookups, filter, router, joiner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7-10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Custom transforms, stored procedures, complex expressions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Very 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11+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Java transforms, HTTP callouts, XML parsing, EBF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Mappings with Unconnected Lookups using dynamic SQL or stored procedures require manual rewrite and cannot be auto-converted.</w:t>
      </w:r>
    </w:p>
    <w:p/>
    <w:p>
      <w:r>
        <w:br w:type="page"/>
      </w:r>
    </w:p>
    <w:p>
      <w:pPr>
        <w:pStyle w:val="Heading1"/>
      </w:pPr>
      <w:r>
        <w:t>3. IICS Organization Setup Prerequisites</w:t>
      </w:r>
    </w:p>
    <w:p>
      <w:r>
        <w:t>Before migration can begin, the IICS organization must be properly provisioned and configured.</w:t>
      </w:r>
    </w:p>
    <w:p>
      <w:pPr>
        <w:pStyle w:val="Heading2"/>
      </w:pPr>
      <w:r>
        <w:t>3.1 Prerequisites Checklist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IICS Org Created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Production and sub-org for Dev/QA/Prod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Secure Agent Installed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At least one agent per environment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Runtime Environment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Configured and healthy in Administrator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Connections Created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All source/target connections validated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Users &amp; Groups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SAML/SSO integrated, roles assigned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Licenses Allocated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IPU pool assigned to org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Network Rules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Firewall rules for pod endpoints opened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Proxy Configuration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HTTP/HTTPS proxy set if required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Use IICS sub-organizations to isolate Dev, QA, and Prod environments while sharing a single license pool.</w:t>
      </w:r>
    </w:p>
    <w:p/>
    <w:p>
      <w:r>
        <w:br w:type="page"/>
      </w:r>
    </w:p>
    <w:p>
      <w:pPr>
        <w:pStyle w:val="Heading1"/>
      </w:pPr>
      <w:r>
        <w:t>4. Secure Agent Infrastructure Readiness</w:t>
      </w:r>
    </w:p>
    <w:p>
      <w:r>
        <w:t>The Secure Agent is the on-premises (or cloud VM) execution engine for IICS. Proper sizing is critical for migration success.</w:t>
      </w:r>
    </w:p>
    <w:p>
      <w:pPr>
        <w:pStyle w:val="Heading2"/>
      </w:pPr>
      <w:r>
        <w:t>4.1 Hardware Sizing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Minimum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Recommended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CPU Cores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16+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More cores = more parallel DTM processes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RAM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32 GB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64 GB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DIS + DTM + OS overhead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Disk (OS)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100 GB SSD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200 GB SSD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Agent binaries, logs, cache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Disk (Cache)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500 GB SSD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 TB NVMe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Lookup cache, session cache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Network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 Gbps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 Gbps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Low latency to sources/targets</w:t>
            </w:r>
          </w:p>
        </w:tc>
      </w:tr>
    </w:tbl>
    <w:p/>
    <w:p>
      <w:pPr>
        <w:pStyle w:val="Heading2"/>
      </w:pPr>
      <w:r>
        <w:t>4.2 JVM Tuning Parameters</w:t>
      </w:r>
    </w:p>
    <w:p>
      <w:r>
        <w:t>Critical JVM settings for the Data Integration Service and DTM processes: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DIS (Data Integration Service) Heap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DIS_MAX_HEAP=4192m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DTM (Data Transformation Manager) Heap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DTM_JVM_OPTS=-Xmx2048m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Max DTM Processes (recommended: 0.75 x CPU cores)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For 16-core server: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maxDTMProcesses=12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For 8-core server: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maxDTMProcesses=6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Secure Agent JVM settings location: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&lt;Agent_Install&gt;/apps/Data_Integration_Server/conf/dt.properties</w:t>
      </w:r>
    </w:p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DIS Heap must be set to 4192MB minimum. DTM -Xmx2048m. maxDTMProcesses = 0.75 x CPU cores. Under-sizing causes OOM failures during peak loads.</w:t>
      </w:r>
    </w:p>
    <w:p/>
    <w:p>
      <w:r>
        <w:br w:type="page"/>
      </w:r>
    </w:p>
    <w:p>
      <w:pPr>
        <w:pStyle w:val="Heading1"/>
      </w:pPr>
      <w:r>
        <w:t>5. Skills Gap Assessment</w:t>
      </w:r>
    </w:p>
    <w:p>
      <w:r>
        <w:t>PowerCenter and IICS share core ETL concepts but differ significantly in architecture, UI paradigm, deployment model, and operational patterns. A skills gap assessment identifies training needs before migration begins.</w:t>
      </w:r>
    </w:p>
    <w:p>
      <w:pPr>
        <w:pStyle w:val="Heading2"/>
      </w:pPr>
      <w:r>
        <w:t>5.1 PC vs IICS Skill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Skill Area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PowerCenter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IICS Equivalent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Gap Level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Mapping Development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PowerCenter Designer (thick client)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Cloud Mapping Designer (browser)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Workflow Orchestration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Workflow Manager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Taskflow / CAI Process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Session Configuration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Session properties in Workflow Manager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Mapping task advanced config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Parameter Files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.par files on server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In-Out parameters, connection params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Deployment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pmrep / Deployment Groups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IICS Asset Migration (Export/Import)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Monitoring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Workflow Monitor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Monitor tab, Activity Log, OpsInsights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Repository Management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Repository Manager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Explore tab, Projects/Folders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Admin &amp; Security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Admin Console, privileges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Administrator service, roles/privileges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 Tuning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Session logs, pushdown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Advance session properties, ELT mode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Error Handling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Error rows, workflow recovery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Error rows, taskflow error handling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pStyle w:val="Heading2"/>
      </w:pPr>
      <w:r>
        <w:t>5.2 Training Recommendations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Training Path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ETL Developer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IICS CDI Developer certification track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40 hours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ETL Lead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IICS CDI + CAI + Administration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60 hours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IICS connection configuration, pushdown optimization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16 hours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Operations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IICS Monitor, OpsInsights, Secure Agent management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24 hours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Architect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IICS architecture, org design, multi-cloud strategy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32 hours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Consider AI-assisted migration tools such as CLAIRE-based conversion utilities that auto-map PC objects to IICS equivalents, reducing manual effort by up to 40%.</w:t>
      </w:r>
    </w:p>
    <w:p/>
    <w:p>
      <w:r>
        <w:br w:type="page"/>
      </w:r>
    </w:p>
    <w:p>
      <w:pPr>
        <w:pStyle w:val="Heading1"/>
      </w:pPr>
      <w:r>
        <w:t>6. Licensing Transition (PC to IICS IPU Model)</w:t>
      </w:r>
    </w:p>
    <w:p>
      <w:r>
        <w:t>PowerCenter uses a traditional processor-based or named-user license model. IICS uses Informatica Processing Units (IPUs), a consumption-based metering model. Understanding the conversion is critical for budgeting.</w:t>
      </w:r>
    </w:p>
    <w:p>
      <w:pPr>
        <w:pStyle w:val="Heading2"/>
      </w:pPr>
      <w:r>
        <w:t>6.1 IPU Consumption Factors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Factor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Data Volume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Rows processed per task run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Primary driver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Compute Complexity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Transformation complexity (joins, lookups)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Multiplier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Connector Type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Standard vs premium connectors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1x vs 2-3x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Execution Frequency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Batch vs real-time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Batch lower, real-time higher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Advanced Services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Data Quality, MDM, Data Governance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Additional IPU pools</w:t>
            </w:r>
          </w:p>
        </w:tc>
      </w:tr>
    </w:tbl>
    <w:p/>
    <w:p>
      <w:pPr>
        <w:pStyle w:val="Heading2"/>
      </w:pPr>
      <w:r>
        <w:t>6.2 License Transition Approach</w:t>
      </w:r>
    </w:p>
    <w:p>
      <w:pPr>
        <w:pStyle w:val="ListNumber"/>
      </w:pPr>
      <w:r>
        <w:t>Inventory current PC license entitlements (processor count, named users)</w:t>
      </w:r>
    </w:p>
    <w:p>
      <w:pPr>
        <w:pStyle w:val="ListNumber"/>
      </w:pPr>
      <w:r>
        <w:t>Run IPU estimation tool on representative 30-day workload</w:t>
      </w:r>
    </w:p>
    <w:p>
      <w:pPr>
        <w:pStyle w:val="ListNumber"/>
      </w:pPr>
      <w:r>
        <w:t>Map peak vs average consumption patterns</w:t>
      </w:r>
    </w:p>
    <w:p>
      <w:pPr>
        <w:pStyle w:val="ListNumber"/>
      </w:pPr>
      <w:r>
        <w:t>Negotiate transition credits with Informatica sales</w:t>
      </w:r>
    </w:p>
    <w:p>
      <w:pPr>
        <w:pStyle w:val="ListNumber"/>
      </w:pPr>
      <w:r>
        <w:t>Plan for 20% IPU buffer above estimated consumption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IPU overages are billed at premium rates. Always maintain a 20% buffer and monitor consumption weekly during the first 90 days post-migration.</w:t>
      </w:r>
    </w:p>
    <w:p/>
    <w:p>
      <w:r>
        <w:br w:type="page"/>
      </w:r>
    </w:p>
    <w:p>
      <w:pPr>
        <w:pStyle w:val="Heading1"/>
      </w:pPr>
      <w:r>
        <w:t>7. Timeline Estimation Framework</w:t>
      </w:r>
    </w:p>
    <w:p>
      <w:r>
        <w:t>Migration timelines vary based on repository size, complexity distribution, and team capacity.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 (Small)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 (Medium)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 (Large)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Assessment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2-3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4-6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Inventory, complexity scoring, readiness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Planning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3-4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planning, team staffing, env setup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1 (Pilot)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4-6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Low complexity, validate approach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2-N (Scale)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16-24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24-52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Medium/High complexity, factory model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Hypercare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Monitoring, defect resolution, tuning</w:t>
            </w:r>
          </w:p>
        </w:tc>
      </w:tr>
    </w:tbl>
    <w:p/>
    <w:p>
      <w:pPr>
        <w:pStyle w:val="Heading2"/>
      </w:pPr>
      <w:r>
        <w:t>7.1 Sizing Definitions</w:t>
      </w:r>
    </w:p>
    <w:p>
      <w:pPr>
        <w:pStyle w:val="ListBullet"/>
      </w:pPr>
      <w:r>
        <w:t>Small: &lt; 100 mappings, &lt; 50 workflows</w:t>
      </w:r>
    </w:p>
    <w:p>
      <w:pPr>
        <w:pStyle w:val="ListBullet"/>
      </w:pPr>
      <w:r>
        <w:t>Medium: 100-500 mappings, 50-200 workflows</w:t>
      </w:r>
    </w:p>
    <w:p>
      <w:pPr>
        <w:pStyle w:val="ListBullet"/>
      </w:pPr>
      <w:r>
        <w:t>Large: 500+ mappings, 200+ workflows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Start with a pilot wave of 10-15 low-complexity mappings to validate the migration approach, build team confidence, and refine estimation models.</w:t>
      </w:r>
    </w:p>
    <w:p/>
    <w:p>
      <w:r>
        <w:br w:type="page"/>
      </w:r>
    </w:p>
    <w:p>
      <w:pPr>
        <w:pStyle w:val="Heading1"/>
      </w:pPr>
      <w:r>
        <w:t>8. Risk Assessment &amp; Mitigation</w:t>
      </w:r>
    </w:p>
    <w:p>
      <w:r>
        <w:t>Proactive risk identification and mitigation planning reduces migration delays and cost overruns.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No IICS connector equivalent for PC source/target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Identify gaps early; use JDBC generic or REST API connector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Custom Java transforms incompatible with IICS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Rewrite as IICS custom functions or Java SDK extensions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 regression in IICS vs PC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Benchmark critical jobs in pilot wave; tune Secure Agent sizing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IPU consumption exceeds budget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Monitor weekly; optimize high-consumption mappings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Organizational resistance to change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Executive sponsorship, training, early wins communication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Secure Agent network connectivity issues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Pre-validate all firewall rules and proxy configs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Data loss during parallel run cutover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Full reconciliation before decommissioning PC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Third-party connectors (e.g., mainframe CDC, SAP BW) may have no IICS equivalent. Identify these in Week 1 and escalate to Informatica product team immediately.</w:t>
      </w:r>
    </w:p>
    <w:p/>
    <w:p>
      <w:r>
        <w:br w:type="page"/>
      </w:r>
    </w:p>
    <w:p>
      <w:pPr>
        <w:pStyle w:val="Heading1"/>
      </w:pPr>
      <w:r>
        <w:t>9. Stakeholder Readiness Evaluation</w:t>
      </w:r>
    </w:p>
    <w:p>
      <w:r>
        <w:t>Migration success depends on stakeholder buy-in across the organization.</w:t>
      </w:r>
    </w:p>
    <w:p>
      <w:pPr>
        <w:pStyle w:val="Heading2"/>
      </w:pPr>
      <w:r>
        <w:t>9.1 Stakeholder Categories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Stakeholder Group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Interest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Influence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Engagement Strategy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Executive Sponsors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Budget, timeline, strategic alignment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Very 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Monthly steering committee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IT Operations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Stability, monitoring, incident management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Weekly ops sync, runbook review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Data Engineering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Technical migration, development, testing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Daily standups, sprint reviews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Business Users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availability, report accuracy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UAT involvement, communication updates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Security/Compliance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Data protection, audit readiness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Architecture review, compliance checkpoint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Vendor (Informatica)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License adoption, product feedback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Quarterly business reviews</w:t>
            </w:r>
          </w:p>
        </w:tc>
      </w:tr>
    </w:tbl>
    <w:p/>
    <w:p>
      <w:r>
        <w:br w:type="page"/>
      </w:r>
    </w:p>
    <w:p>
      <w:pPr>
        <w:pStyle w:val="Heading1"/>
      </w:pPr>
      <w:r>
        <w:t>10. Migration Team Structure</w:t>
      </w:r>
    </w:p>
    <w:p>
      <w:r>
        <w:t>A well-structured migration team with clear roles accelerates delivery and reduces risk.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Responsibilities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Headcount (Large)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Headcount (Small)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Program Manager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Overall delivery, stakeholder communication, risk management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Technical Architect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Architecture design, Secure Agent sizing, standards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Migration Lead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Wave planning, factory model, quality gates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ETL Developer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Mapping conversion, unit testing, defect fixing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6-12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2-4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QA Engineer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Test case design, execution, reconciliation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3-6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1-2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DevOps Engineer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CI/CD pipelines, environment management, monitoring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Connection setup, performance tuning, query optimization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0.5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Business Analyst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Requirements validation, UAT coordination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0.5</w:t>
            </w:r>
          </w:p>
        </w:tc>
      </w:tr>
    </w:tbl>
    <w:p/>
    <w:p>
      <w:r>
        <w:br w:type="page"/>
      </w:r>
    </w:p>
    <w:p>
      <w:pPr>
        <w:pStyle w:val="Heading1"/>
      </w:pPr>
      <w:r>
        <w:t>11. Readiness Scorecard Template</w:t>
      </w:r>
    </w:p>
    <w:p>
      <w:r>
        <w:t>Use the following scorecard to quantify readiness across all dimensions. Score each item 1-5.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Score (1-5)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PC repository health and documentation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IICS org provisioned and validated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Secure Agent sized and deployed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connections tested successfully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Organizational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Executive sponsorship confirmed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Organizational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Training plan approved and funded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Organizational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Migration team staffed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Licensing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IPU estimation completed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Licensing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Contract negotiated with Informatica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Server hardware procured/provisioned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Network connectivity validated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Monitoring and alerting configured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Composite Score = Weighted average of dimension scores. Target: 3.5+ to proceed. Below 3.0 = Stop and remediate.</w:t>
      </w:r>
    </w:p>
    <w:p/>
    <w:p>
      <w:r>
        <w:br w:type="page"/>
      </w:r>
    </w:p>
    <w:p>
      <w:pPr>
        <w:pStyle w:val="Heading1"/>
      </w:pPr>
      <w:r>
        <w:t>12. Industry-Specific Considerations</w:t>
      </w:r>
    </w:p>
    <w:p>
      <w:pPr>
        <w:pStyle w:val="Heading2"/>
      </w:pPr>
      <w:r>
        <w:t>12.1 BFSI: SOX Compliance During Migration</w:t>
      </w:r>
    </w:p>
    <w:p>
      <w:r>
        <w:t>Financial services organizations subject to Sarbanes-Oxley (SOX) must maintain audit trails and change controls throughout the migration process. Key considerations:</w:t>
      </w:r>
    </w:p>
    <w:p>
      <w:pPr>
        <w:pStyle w:val="ListBullet"/>
      </w:pPr>
      <w:r>
        <w:t>All migration changes must follow existing SDLC change control processes</w:t>
      </w:r>
    </w:p>
    <w:p>
      <w:pPr>
        <w:pStyle w:val="ListBullet"/>
      </w:pPr>
      <w:r>
        <w:t>Dual-run period must have reconciliation evidence for SOX-critical data flows</w:t>
      </w:r>
    </w:p>
    <w:p>
      <w:pPr>
        <w:pStyle w:val="ListBullet"/>
      </w:pPr>
      <w:r>
        <w:t>Audit trail of who migrated what, when, and approval chain must be maintained</w:t>
      </w:r>
    </w:p>
    <w:p>
      <w:pPr>
        <w:pStyle w:val="ListBullet"/>
      </w:pPr>
      <w:r>
        <w:t>SOX-critical mappings should be migrated in a dedicated wave with enhanced testing</w:t>
      </w:r>
    </w:p>
    <w:p>
      <w:pPr>
        <w:pStyle w:val="ListBullet"/>
      </w:pPr>
      <w:r>
        <w:t>Internal audit team must review and approve migration approach before Wave 1</w:t>
      </w:r>
    </w:p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BFSI SOX: Migration of financial reporting ETL (GL, AP, AR, Fixed Assets) must be planned during non-reporting periods. Never migrate SOX-critical flows during quarter-end close.</w:t>
      </w:r>
    </w:p>
    <w:p/>
    <w:p>
      <w:pPr>
        <w:pStyle w:val="Heading2"/>
      </w:pPr>
      <w:r>
        <w:t>12.2 HCLS: HIPAA Data Handling During Transition</w:t>
      </w:r>
    </w:p>
    <w:p>
      <w:r>
        <w:t>Healthcare organizations must ensure Protected Health Information (PHI) is safeguarded throughout the migration lifecycle.</w:t>
      </w:r>
    </w:p>
    <w:p>
      <w:pPr>
        <w:pStyle w:val="ListBullet"/>
      </w:pPr>
      <w:r>
        <w:t>PHI must never be stored on developer workstations or in IICS cloud-hosted logs</w:t>
      </w:r>
    </w:p>
    <w:p>
      <w:pPr>
        <w:pStyle w:val="ListBullet"/>
      </w:pPr>
      <w:r>
        <w:t>Secure Agent machines handling PHI must meet HIPAA technical safeguard requirements</w:t>
      </w:r>
    </w:p>
    <w:p>
      <w:pPr>
        <w:pStyle w:val="ListBullet"/>
      </w:pPr>
      <w:r>
        <w:t>Test environments must use de-identified or synthetic data for PHI-containing flows</w:t>
      </w:r>
    </w:p>
    <w:p>
      <w:pPr>
        <w:pStyle w:val="ListBullet"/>
      </w:pPr>
      <w:r>
        <w:t>Business Associate Agreements (BAAs) must be in place with Informatica for IICS</w:t>
      </w:r>
    </w:p>
    <w:p>
      <w:pPr>
        <w:pStyle w:val="ListBullet"/>
      </w:pPr>
      <w:r>
        <w:t>Encryption in transit (TLS 1.2+) and at rest must be validated for all PHI flows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HCLS HIPAA: Ensure Informatica BAA covers IICS usage. Verify that IICS pod region meets data residency requirements before migrating any PHI workloads.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#41 INFA Inventory Complexity Analysis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Migration_Library/Assessment/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#42 INFA Migration Testing Strategy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Migration_Library/Testing/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#43 INFA Data Reconciliation Framework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Migration_Library/Testing/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#01 INFA IICS Architecture Deep Dive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Core_Library/Architecture/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#05 INFA Secure Agent Infrastructure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Core_Library/Infrastructure/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