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INFA Object Conversion Playbook</w:t>
      </w:r>
    </w:p>
    <w:p>
      <w:r>
        <w:rPr>
          <w:b/>
          <w:color w:val="FF6D00"/>
          <w:sz w:val="28"/>
        </w:rPr>
        <w:t>Mastech Digital — Informatica Platform Assets</w:t>
      </w:r>
    </w:p>
    <w:p>
      <w:r>
        <w:rPr>
          <w:i/>
          <w:color w:val="4B5563"/>
          <w:sz w:val="22"/>
        </w:rPr>
        <w:t>Object-by-object mapping and conversion rules for PowerCenter to IICS migration.</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INFA Object Conversion Playbook</w:t>
            </w:r>
          </w:p>
        </w:tc>
      </w:tr>
      <w:tr>
        <w:tc>
          <w:tcPr>
            <w:tcW w:type="dxa" w:w="4703"/>
            <w:shd w:fill="0C548A" w:val="clear"/>
          </w:tcPr>
          <w:p>
            <w:r>
              <w:rPr>
                <w:b/>
                <w:color w:val="FFFFFF"/>
                <w:sz w:val="20"/>
              </w:rPr>
              <w:t>Category</w:t>
            </w:r>
          </w:p>
        </w:tc>
        <w:tc>
          <w:tcPr>
            <w:tcW w:type="dxa" w:w="4703"/>
          </w:tcPr>
          <w:p>
            <w:r>
              <w:rPr>
                <w:sz w:val="20"/>
              </w:rPr>
              <w:t>Migration - PC to IICS</w:t>
            </w:r>
          </w:p>
        </w:tc>
      </w:tr>
      <w:tr>
        <w:tc>
          <w:tcPr>
            <w:tcW w:type="dxa" w:w="4703"/>
            <w:shd w:fill="0C548A" w:val="clear"/>
          </w:tcPr>
          <w:p>
            <w:r>
              <w:rPr>
                <w:b/>
                <w:color w:val="FFFFFF"/>
                <w:sz w:val="20"/>
              </w:rPr>
              <w:t>Document ID</w:t>
            </w:r>
          </w:p>
        </w:tc>
        <w:tc>
          <w:tcPr>
            <w:tcW w:type="dxa" w:w="4703"/>
            <w:shd w:fill="F4F6FA" w:val="clear"/>
          </w:tcPr>
          <w:p>
            <w:r>
              <w:rPr>
                <w:sz w:val="20"/>
              </w:rPr>
              <w:t>#37</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This playbook provides detailed object-by-object conversion rules for migrating PowerCenter assets to IICS Cloud Data Integration (CDI). It covers PC-to-IICS object mapping, transformation conversion rules, handling of unsupported transformations, complex pattern resolution, naming conventions, and validation checklists. Use this as the primary reference during the Convert and Validate phases of the Migration Factory.</w:t>
      </w:r>
    </w:p>
    <w:p/>
    <w:p>
      <w:pPr>
        <w:pStyle w:val="Heading1"/>
      </w:pPr>
      <w:r>
        <w:t>Table of Contents</w:t>
      </w:r>
    </w:p>
    <w:p>
      <w:pPr>
        <w:spacing w:after="60"/>
      </w:pPr>
      <w:r>
        <w:rPr>
          <w:color w:val="0C548A"/>
          <w:sz w:val="22"/>
        </w:rPr>
        <w:t>1.0  Object Mapping Table</w:t>
      </w:r>
    </w:p>
    <w:p>
      <w:pPr>
        <w:spacing w:after="60"/>
      </w:pPr>
      <w:r>
        <w:rPr>
          <w:color w:val="0C548A"/>
          <w:sz w:val="22"/>
        </w:rPr>
        <w:t>2.0  Transformation Conversion Rules</w:t>
      </w:r>
    </w:p>
    <w:p>
      <w:pPr>
        <w:spacing w:after="60"/>
      </w:pPr>
      <w:r>
        <w:rPr>
          <w:color w:val="0C548A"/>
          <w:sz w:val="22"/>
        </w:rPr>
        <w:t>3.0  Unsupported Transformations</w:t>
      </w:r>
    </w:p>
    <w:p>
      <w:pPr>
        <w:spacing w:after="60"/>
      </w:pPr>
      <w:r>
        <w:rPr>
          <w:color w:val="0C548A"/>
          <w:sz w:val="22"/>
        </w:rPr>
        <w:t>4.0  Complex Pattern Resolution</w:t>
      </w:r>
    </w:p>
    <w:p>
      <w:pPr>
        <w:spacing w:after="60"/>
      </w:pPr>
      <w:r>
        <w:rPr>
          <w:color w:val="0C548A"/>
          <w:sz w:val="22"/>
        </w:rPr>
        <w:t>5.0  Naming Conventions</w:t>
      </w:r>
    </w:p>
    <w:p>
      <w:pPr>
        <w:spacing w:after="60"/>
      </w:pPr>
      <w:r>
        <w:rPr>
          <w:color w:val="0C548A"/>
          <w:sz w:val="22"/>
        </w:rPr>
        <w:t>6.0  Validation Checklists</w:t>
      </w:r>
    </w:p>
    <w:p>
      <w:pPr>
        <w:spacing w:after="60"/>
      </w:pPr>
      <w:r>
        <w:rPr>
          <w:color w:val="0C548A"/>
          <w:sz w:val="22"/>
        </w:rPr>
        <w:t>7.0  Prerequisites &amp; Applicability</w:t>
      </w:r>
    </w:p>
    <w:p>
      <w:pPr>
        <w:spacing w:after="60"/>
      </w:pPr>
      <w:r>
        <w:rPr>
          <w:color w:val="0C548A"/>
          <w:sz w:val="22"/>
        </w:rPr>
        <w:t>8.0  Related Assets</w:t>
      </w:r>
    </w:p>
    <w:p>
      <w:r>
        <w:br w:type="page"/>
      </w:r>
    </w:p>
    <w:p>
      <w:pPr>
        <w:pStyle w:val="Heading1"/>
      </w:pPr>
      <w:r>
        <w:t>Prerequisites &amp; Applicability</w:t>
      </w:r>
    </w:p>
    <w:p>
      <w:pPr>
        <w:pStyle w:val="ListBullet"/>
      </w:pPr>
      <w:r>
        <w:t>Familiarity with PowerCenter Designer and Workflow Manager</w:t>
      </w:r>
    </w:p>
    <w:p>
      <w:pPr>
        <w:pStyle w:val="ListBullet"/>
      </w:pPr>
      <w:r>
        <w:t>Access to IICS CDI (Cloud Data Integration) with Developer or Admin role</w:t>
      </w:r>
    </w:p>
    <w:p>
      <w:pPr>
        <w:pStyle w:val="ListBullet"/>
      </w:pPr>
      <w:r>
        <w:t>PC to IICS Migration Guide (#36) reviewed and understood</w:t>
      </w:r>
    </w:p>
    <w:p>
      <w:pPr>
        <w:pStyle w:val="ListBullet"/>
      </w:pPr>
      <w:r>
        <w:t>PowerCenter repository export (XML) available for reference</w:t>
      </w:r>
    </w:p>
    <w:p>
      <w:pPr>
        <w:pStyle w:val="ListBullet"/>
      </w:pPr>
      <w:r>
        <w:t>Migration Accelerator tool installed (for automated conversion)</w:t>
      </w:r>
    </w:p>
    <w:p>
      <w:pPr>
        <w:pStyle w:val="ListBullet"/>
      </w:pPr>
      <w:r>
        <w:t>Target IICS connections configured and tested</w:t>
      </w:r>
    </w:p>
    <w:p/>
    <w:p>
      <w:pPr>
        <w:pStyle w:val="Heading1"/>
      </w:pPr>
      <w:r>
        <w:t>1. Object Mapping Table</w:t>
      </w:r>
    </w:p>
    <w:p>
      <w:r>
        <w:t>The following table maps PowerCenter objects to their IICS equivalents. Understanding this mapping is the foundation of every conversion effort.</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PowerCenter Object</w:t>
            </w:r>
          </w:p>
        </w:tc>
        <w:tc>
          <w:tcPr>
            <w:tcW w:type="dxa" w:w="3135"/>
            <w:shd w:fill="0C548A" w:val="clear"/>
          </w:tcPr>
          <w:p>
            <w:r>
              <w:rPr>
                <w:b/>
                <w:color w:val="FFFFFF"/>
                <w:sz w:val="20"/>
              </w:rPr>
              <w:t>IICS Equivalent</w:t>
            </w:r>
          </w:p>
        </w:tc>
        <w:tc>
          <w:tcPr>
            <w:tcW w:type="dxa" w:w="3135"/>
            <w:shd w:fill="0C548A" w:val="clear"/>
          </w:tcPr>
          <w:p>
            <w:r>
              <w:rPr>
                <w:b/>
                <w:color w:val="FFFFFF"/>
                <w:sz w:val="20"/>
              </w:rPr>
              <w:t>Notes</w:t>
            </w:r>
          </w:p>
        </w:tc>
      </w:tr>
      <w:tr>
        <w:tc>
          <w:tcPr>
            <w:tcW w:type="dxa" w:w="3135"/>
          </w:tcPr>
          <w:p>
            <w:r>
              <w:rPr>
                <w:sz w:val="20"/>
              </w:rPr>
              <w:t>Repository</w:t>
            </w:r>
          </w:p>
        </w:tc>
        <w:tc>
          <w:tcPr>
            <w:tcW w:type="dxa" w:w="3135"/>
          </w:tcPr>
          <w:p>
            <w:r>
              <w:rPr>
                <w:sz w:val="20"/>
              </w:rPr>
              <w:t>Org / Sub-Org</w:t>
            </w:r>
          </w:p>
        </w:tc>
        <w:tc>
          <w:tcPr>
            <w:tcW w:type="dxa" w:w="3135"/>
          </w:tcPr>
          <w:p>
            <w:r>
              <w:rPr>
                <w:sz w:val="20"/>
              </w:rPr>
              <w:t>One PC repo maps to one IICS Org or Sub-Org</w:t>
            </w:r>
          </w:p>
        </w:tc>
      </w:tr>
      <w:tr>
        <w:tc>
          <w:tcPr>
            <w:tcW w:type="dxa" w:w="3135"/>
            <w:shd w:fill="F4F6FA" w:val="clear"/>
          </w:tcPr>
          <w:p>
            <w:r>
              <w:rPr>
                <w:sz w:val="20"/>
              </w:rPr>
              <w:t>Folder</w:t>
            </w:r>
          </w:p>
        </w:tc>
        <w:tc>
          <w:tcPr>
            <w:tcW w:type="dxa" w:w="3135"/>
            <w:shd w:fill="F4F6FA" w:val="clear"/>
          </w:tcPr>
          <w:p>
            <w:r>
              <w:rPr>
                <w:sz w:val="20"/>
              </w:rPr>
              <w:t>Project + Folder</w:t>
            </w:r>
          </w:p>
        </w:tc>
        <w:tc>
          <w:tcPr>
            <w:tcW w:type="dxa" w:w="3135"/>
            <w:shd w:fill="F4F6FA" w:val="clear"/>
          </w:tcPr>
          <w:p>
            <w:r>
              <w:rPr>
                <w:sz w:val="20"/>
              </w:rPr>
              <w:t>PC folders become IICS Project/Folder hierarchy</w:t>
            </w:r>
          </w:p>
        </w:tc>
      </w:tr>
      <w:tr>
        <w:tc>
          <w:tcPr>
            <w:tcW w:type="dxa" w:w="3135"/>
          </w:tcPr>
          <w:p>
            <w:r>
              <w:rPr>
                <w:sz w:val="20"/>
              </w:rPr>
              <w:t>Mapping</w:t>
            </w:r>
          </w:p>
        </w:tc>
        <w:tc>
          <w:tcPr>
            <w:tcW w:type="dxa" w:w="3135"/>
          </w:tcPr>
          <w:p>
            <w:r>
              <w:rPr>
                <w:sz w:val="20"/>
              </w:rPr>
              <w:t>CDI Mapping</w:t>
            </w:r>
          </w:p>
        </w:tc>
        <w:tc>
          <w:tcPr>
            <w:tcW w:type="dxa" w:w="3135"/>
          </w:tcPr>
          <w:p>
            <w:r>
              <w:rPr>
                <w:sz w:val="20"/>
              </w:rPr>
              <w:t>Core data transformation logic</w:t>
            </w:r>
          </w:p>
        </w:tc>
      </w:tr>
      <w:tr>
        <w:tc>
          <w:tcPr>
            <w:tcW w:type="dxa" w:w="3135"/>
            <w:shd w:fill="F4F6FA" w:val="clear"/>
          </w:tcPr>
          <w:p>
            <w:r>
              <w:rPr>
                <w:sz w:val="20"/>
              </w:rPr>
              <w:t>Mapplet</w:t>
            </w:r>
          </w:p>
        </w:tc>
        <w:tc>
          <w:tcPr>
            <w:tcW w:type="dxa" w:w="3135"/>
            <w:shd w:fill="F4F6FA" w:val="clear"/>
          </w:tcPr>
          <w:p>
            <w:r>
              <w:rPr>
                <w:sz w:val="20"/>
              </w:rPr>
              <w:t>Shared Mapping / Reusable Transformation</w:t>
            </w:r>
          </w:p>
        </w:tc>
        <w:tc>
          <w:tcPr>
            <w:tcW w:type="dxa" w:w="3135"/>
            <w:shd w:fill="F4F6FA" w:val="clear"/>
          </w:tcPr>
          <w:p>
            <w:r>
              <w:rPr>
                <w:sz w:val="20"/>
              </w:rPr>
              <w:t>Reusable logic; may need restructuring</w:t>
            </w:r>
          </w:p>
        </w:tc>
      </w:tr>
      <w:tr>
        <w:tc>
          <w:tcPr>
            <w:tcW w:type="dxa" w:w="3135"/>
          </w:tcPr>
          <w:p>
            <w:r>
              <w:rPr>
                <w:sz w:val="20"/>
              </w:rPr>
              <w:t>Session</w:t>
            </w:r>
          </w:p>
        </w:tc>
        <w:tc>
          <w:tcPr>
            <w:tcW w:type="dxa" w:w="3135"/>
          </w:tcPr>
          <w:p>
            <w:r>
              <w:rPr>
                <w:sz w:val="20"/>
              </w:rPr>
              <w:t>Mapping Task (CDI Task)</w:t>
            </w:r>
          </w:p>
        </w:tc>
        <w:tc>
          <w:tcPr>
            <w:tcW w:type="dxa" w:w="3135"/>
          </w:tcPr>
          <w:p>
            <w:r>
              <w:rPr>
                <w:sz w:val="20"/>
              </w:rPr>
              <w:t>Runtime config for a mapping</w:t>
            </w:r>
          </w:p>
        </w:tc>
      </w:tr>
      <w:tr>
        <w:tc>
          <w:tcPr>
            <w:tcW w:type="dxa" w:w="3135"/>
            <w:shd w:fill="F4F6FA" w:val="clear"/>
          </w:tcPr>
          <w:p>
            <w:r>
              <w:rPr>
                <w:sz w:val="20"/>
              </w:rPr>
              <w:t>Workflow</w:t>
            </w:r>
          </w:p>
        </w:tc>
        <w:tc>
          <w:tcPr>
            <w:tcW w:type="dxa" w:w="3135"/>
            <w:shd w:fill="F4F6FA" w:val="clear"/>
          </w:tcPr>
          <w:p>
            <w:r>
              <w:rPr>
                <w:sz w:val="20"/>
              </w:rPr>
              <w:t>Taskflow</w:t>
            </w:r>
          </w:p>
        </w:tc>
        <w:tc>
          <w:tcPr>
            <w:tcW w:type="dxa" w:w="3135"/>
            <w:shd w:fill="F4F6FA" w:val="clear"/>
          </w:tcPr>
          <w:p>
            <w:r>
              <w:rPr>
                <w:sz w:val="20"/>
              </w:rPr>
              <w:t>Orchestration container</w:t>
            </w:r>
          </w:p>
        </w:tc>
      </w:tr>
      <w:tr>
        <w:tc>
          <w:tcPr>
            <w:tcW w:type="dxa" w:w="3135"/>
          </w:tcPr>
          <w:p>
            <w:r>
              <w:rPr>
                <w:sz w:val="20"/>
              </w:rPr>
              <w:t>Worklet</w:t>
            </w:r>
          </w:p>
        </w:tc>
        <w:tc>
          <w:tcPr>
            <w:tcW w:type="dxa" w:w="3135"/>
          </w:tcPr>
          <w:p>
            <w:r>
              <w:rPr>
                <w:sz w:val="20"/>
              </w:rPr>
              <w:t>Sub-Taskflow (inline)</w:t>
            </w:r>
          </w:p>
        </w:tc>
        <w:tc>
          <w:tcPr>
            <w:tcW w:type="dxa" w:w="3135"/>
          </w:tcPr>
          <w:p>
            <w:r>
              <w:rPr>
                <w:sz w:val="20"/>
              </w:rPr>
              <w:t>Nested orchestration; flatten if simple</w:t>
            </w:r>
          </w:p>
        </w:tc>
      </w:tr>
      <w:tr>
        <w:tc>
          <w:tcPr>
            <w:tcW w:type="dxa" w:w="3135"/>
            <w:shd w:fill="F4F6FA" w:val="clear"/>
          </w:tcPr>
          <w:p>
            <w:r>
              <w:rPr>
                <w:sz w:val="20"/>
              </w:rPr>
              <w:t>Parameter File</w:t>
            </w:r>
          </w:p>
        </w:tc>
        <w:tc>
          <w:tcPr>
            <w:tcW w:type="dxa" w:w="3135"/>
            <w:shd w:fill="F4F6FA" w:val="clear"/>
          </w:tcPr>
          <w:p>
            <w:r>
              <w:rPr>
                <w:sz w:val="20"/>
              </w:rPr>
              <w:t>Parameter Set / In-Cloud Parameters</w:t>
            </w:r>
          </w:p>
        </w:tc>
        <w:tc>
          <w:tcPr>
            <w:tcW w:type="dxa" w:w="3135"/>
            <w:shd w:fill="F4F6FA" w:val="clear"/>
          </w:tcPr>
          <w:p>
            <w:r>
              <w:rPr>
                <w:sz w:val="20"/>
              </w:rPr>
              <w:t>File-based params become cloud-managed</w:t>
            </w:r>
          </w:p>
        </w:tc>
      </w:tr>
      <w:tr>
        <w:tc>
          <w:tcPr>
            <w:tcW w:type="dxa" w:w="3135"/>
          </w:tcPr>
          <w:p>
            <w:r>
              <w:rPr>
                <w:sz w:val="20"/>
              </w:rPr>
              <w:t>Connection Object</w:t>
            </w:r>
          </w:p>
        </w:tc>
        <w:tc>
          <w:tcPr>
            <w:tcW w:type="dxa" w:w="3135"/>
          </w:tcPr>
          <w:p>
            <w:r>
              <w:rPr>
                <w:sz w:val="20"/>
              </w:rPr>
              <w:t>IICS Connection</w:t>
            </w:r>
          </w:p>
        </w:tc>
        <w:tc>
          <w:tcPr>
            <w:tcW w:type="dxa" w:w="3135"/>
          </w:tcPr>
          <w:p>
            <w:r>
              <w:rPr>
                <w:sz w:val="20"/>
              </w:rPr>
              <w:t>Recreate with IICS connection wizard</w:t>
            </w:r>
          </w:p>
        </w:tc>
      </w:tr>
      <w:tr>
        <w:tc>
          <w:tcPr>
            <w:tcW w:type="dxa" w:w="3135"/>
            <w:shd w:fill="F4F6FA" w:val="clear"/>
          </w:tcPr>
          <w:p>
            <w:r>
              <w:rPr>
                <w:sz w:val="20"/>
              </w:rPr>
              <w:t>Scheduler</w:t>
            </w:r>
          </w:p>
        </w:tc>
        <w:tc>
          <w:tcPr>
            <w:tcW w:type="dxa" w:w="3135"/>
            <w:shd w:fill="F4F6FA" w:val="clear"/>
          </w:tcPr>
          <w:p>
            <w:r>
              <w:rPr>
                <w:sz w:val="20"/>
              </w:rPr>
              <w:t>IICS Schedule</w:t>
            </w:r>
          </w:p>
        </w:tc>
        <w:tc>
          <w:tcPr>
            <w:tcW w:type="dxa" w:w="3135"/>
            <w:shd w:fill="F4F6FA" w:val="clear"/>
          </w:tcPr>
          <w:p>
            <w:r>
              <w:rPr>
                <w:sz w:val="20"/>
              </w:rPr>
              <w:t>Cron-equivalent scheduling in IICS</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IICS does not have a direct 'Session' concept. Session properties (buffer size, commit interval, DTM settings) map to Mapping Task advanced session properties or runtime environment settings.</w:t>
      </w:r>
    </w:p>
    <w:p/>
    <w:p>
      <w:r>
        <w:br w:type="page"/>
      </w:r>
    </w:p>
    <w:p>
      <w:pPr>
        <w:pStyle w:val="Heading1"/>
      </w:pPr>
      <w:r>
        <w:t>2. Transformation Conversion Rules</w:t>
      </w:r>
    </w:p>
    <w:p>
      <w:r>
        <w:t>Each PowerCenter transformation has a corresponding IICS transformation. Most conversions are straightforward, but some require special handling.</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PC Transformation</w:t>
            </w:r>
          </w:p>
        </w:tc>
        <w:tc>
          <w:tcPr>
            <w:tcW w:type="dxa" w:w="3135"/>
            <w:shd w:fill="0C548A" w:val="clear"/>
          </w:tcPr>
          <w:p>
            <w:r>
              <w:rPr>
                <w:b/>
                <w:color w:val="FFFFFF"/>
                <w:sz w:val="20"/>
              </w:rPr>
              <w:t>IICS Transformation</w:t>
            </w:r>
          </w:p>
        </w:tc>
        <w:tc>
          <w:tcPr>
            <w:tcW w:type="dxa" w:w="3135"/>
            <w:shd w:fill="0C548A" w:val="clear"/>
          </w:tcPr>
          <w:p>
            <w:r>
              <w:rPr>
                <w:b/>
                <w:color w:val="FFFFFF"/>
                <w:sz w:val="20"/>
              </w:rPr>
              <w:t>Conversion Notes</w:t>
            </w:r>
          </w:p>
        </w:tc>
      </w:tr>
      <w:tr>
        <w:tc>
          <w:tcPr>
            <w:tcW w:type="dxa" w:w="3135"/>
          </w:tcPr>
          <w:p>
            <w:r>
              <w:rPr>
                <w:sz w:val="20"/>
              </w:rPr>
              <w:t>Source Qualifier</w:t>
            </w:r>
          </w:p>
        </w:tc>
        <w:tc>
          <w:tcPr>
            <w:tcW w:type="dxa" w:w="3135"/>
          </w:tcPr>
          <w:p>
            <w:r>
              <w:rPr>
                <w:sz w:val="20"/>
              </w:rPr>
              <w:t>Source</w:t>
            </w:r>
          </w:p>
        </w:tc>
        <w:tc>
          <w:tcPr>
            <w:tcW w:type="dxa" w:w="3135"/>
          </w:tcPr>
          <w:p>
            <w:r>
              <w:rPr>
                <w:sz w:val="20"/>
              </w:rPr>
              <w:t>SQL override moves to Source query or pre-SQL</w:t>
            </w:r>
          </w:p>
        </w:tc>
      </w:tr>
      <w:tr>
        <w:tc>
          <w:tcPr>
            <w:tcW w:type="dxa" w:w="3135"/>
            <w:shd w:fill="F4F6FA" w:val="clear"/>
          </w:tcPr>
          <w:p>
            <w:r>
              <w:rPr>
                <w:sz w:val="20"/>
              </w:rPr>
              <w:t>Expression</w:t>
            </w:r>
          </w:p>
        </w:tc>
        <w:tc>
          <w:tcPr>
            <w:tcW w:type="dxa" w:w="3135"/>
            <w:shd w:fill="F4F6FA" w:val="clear"/>
          </w:tcPr>
          <w:p>
            <w:r>
              <w:rPr>
                <w:sz w:val="20"/>
              </w:rPr>
              <w:t>Expression</w:t>
            </w:r>
          </w:p>
        </w:tc>
        <w:tc>
          <w:tcPr>
            <w:tcW w:type="dxa" w:w="3135"/>
            <w:shd w:fill="F4F6FA" w:val="clear"/>
          </w:tcPr>
          <w:p>
            <w:r>
              <w:rPr>
                <w:sz w:val="20"/>
              </w:rPr>
              <w:t>Direct 1:1; validate function syntax differences</w:t>
            </w:r>
          </w:p>
        </w:tc>
      </w:tr>
      <w:tr>
        <w:tc>
          <w:tcPr>
            <w:tcW w:type="dxa" w:w="3135"/>
          </w:tcPr>
          <w:p>
            <w:r>
              <w:rPr>
                <w:sz w:val="20"/>
              </w:rPr>
              <w:t>Lookup</w:t>
            </w:r>
          </w:p>
        </w:tc>
        <w:tc>
          <w:tcPr>
            <w:tcW w:type="dxa" w:w="3135"/>
          </w:tcPr>
          <w:p>
            <w:r>
              <w:rPr>
                <w:sz w:val="20"/>
              </w:rPr>
              <w:t>Lookup</w:t>
            </w:r>
          </w:p>
        </w:tc>
        <w:tc>
          <w:tcPr>
            <w:tcW w:type="dxa" w:w="3135"/>
          </w:tcPr>
          <w:p>
            <w:r>
              <w:rPr>
                <w:sz w:val="20"/>
              </w:rPr>
              <w:t>Static lookups convert directly; dynamic needs review</w:t>
            </w:r>
          </w:p>
        </w:tc>
      </w:tr>
      <w:tr>
        <w:tc>
          <w:tcPr>
            <w:tcW w:type="dxa" w:w="3135"/>
            <w:shd w:fill="F4F6FA" w:val="clear"/>
          </w:tcPr>
          <w:p>
            <w:r>
              <w:rPr>
                <w:sz w:val="20"/>
              </w:rPr>
              <w:t>Joiner</w:t>
            </w:r>
          </w:p>
        </w:tc>
        <w:tc>
          <w:tcPr>
            <w:tcW w:type="dxa" w:w="3135"/>
            <w:shd w:fill="F4F6FA" w:val="clear"/>
          </w:tcPr>
          <w:p>
            <w:r>
              <w:rPr>
                <w:sz w:val="20"/>
              </w:rPr>
              <w:t>Joiner</w:t>
            </w:r>
          </w:p>
        </w:tc>
        <w:tc>
          <w:tcPr>
            <w:tcW w:type="dxa" w:w="3135"/>
            <w:shd w:fill="F4F6FA" w:val="clear"/>
          </w:tcPr>
          <w:p>
            <w:r>
              <w:rPr>
                <w:sz w:val="20"/>
              </w:rPr>
              <w:t>Join type and condition map directly</w:t>
            </w:r>
          </w:p>
        </w:tc>
      </w:tr>
      <w:tr>
        <w:tc>
          <w:tcPr>
            <w:tcW w:type="dxa" w:w="3135"/>
          </w:tcPr>
          <w:p>
            <w:r>
              <w:rPr>
                <w:sz w:val="20"/>
              </w:rPr>
              <w:t>Aggregator</w:t>
            </w:r>
          </w:p>
        </w:tc>
        <w:tc>
          <w:tcPr>
            <w:tcW w:type="dxa" w:w="3135"/>
          </w:tcPr>
          <w:p>
            <w:r>
              <w:rPr>
                <w:sz w:val="20"/>
              </w:rPr>
              <w:t>Aggregator</w:t>
            </w:r>
          </w:p>
        </w:tc>
        <w:tc>
          <w:tcPr>
            <w:tcW w:type="dxa" w:w="3135"/>
          </w:tcPr>
          <w:p>
            <w:r>
              <w:rPr>
                <w:sz w:val="20"/>
              </w:rPr>
              <w:t>Group-by and aggregate functions map 1:1</w:t>
            </w:r>
          </w:p>
        </w:tc>
      </w:tr>
      <w:tr>
        <w:tc>
          <w:tcPr>
            <w:tcW w:type="dxa" w:w="3135"/>
            <w:shd w:fill="F4F6FA" w:val="clear"/>
          </w:tcPr>
          <w:p>
            <w:r>
              <w:rPr>
                <w:sz w:val="20"/>
              </w:rPr>
              <w:t>Router</w:t>
            </w:r>
          </w:p>
        </w:tc>
        <w:tc>
          <w:tcPr>
            <w:tcW w:type="dxa" w:w="3135"/>
            <w:shd w:fill="F4F6FA" w:val="clear"/>
          </w:tcPr>
          <w:p>
            <w:r>
              <w:rPr>
                <w:sz w:val="20"/>
              </w:rPr>
              <w:t>Router / Filter</w:t>
            </w:r>
          </w:p>
        </w:tc>
        <w:tc>
          <w:tcPr>
            <w:tcW w:type="dxa" w:w="3135"/>
            <w:shd w:fill="F4F6FA" w:val="clear"/>
          </w:tcPr>
          <w:p>
            <w:r>
              <w:rPr>
                <w:sz w:val="20"/>
              </w:rPr>
              <w:t>Router groups become Router or separate Filters</w:t>
            </w:r>
          </w:p>
        </w:tc>
      </w:tr>
      <w:tr>
        <w:tc>
          <w:tcPr>
            <w:tcW w:type="dxa" w:w="3135"/>
          </w:tcPr>
          <w:p>
            <w:r>
              <w:rPr>
                <w:sz w:val="20"/>
              </w:rPr>
              <w:t>Union</w:t>
            </w:r>
          </w:p>
        </w:tc>
        <w:tc>
          <w:tcPr>
            <w:tcW w:type="dxa" w:w="3135"/>
          </w:tcPr>
          <w:p>
            <w:r>
              <w:rPr>
                <w:sz w:val="20"/>
              </w:rPr>
              <w:t>Union</w:t>
            </w:r>
          </w:p>
        </w:tc>
        <w:tc>
          <w:tcPr>
            <w:tcW w:type="dxa" w:w="3135"/>
          </w:tcPr>
          <w:p>
            <w:r>
              <w:rPr>
                <w:sz w:val="20"/>
              </w:rPr>
              <w:t>Direct 1:1 conversion</w:t>
            </w:r>
          </w:p>
        </w:tc>
      </w:tr>
      <w:tr>
        <w:tc>
          <w:tcPr>
            <w:tcW w:type="dxa" w:w="3135"/>
            <w:shd w:fill="F4F6FA" w:val="clear"/>
          </w:tcPr>
          <w:p>
            <w:r>
              <w:rPr>
                <w:sz w:val="20"/>
              </w:rPr>
              <w:t>Normalizer</w:t>
            </w:r>
          </w:p>
        </w:tc>
        <w:tc>
          <w:tcPr>
            <w:tcW w:type="dxa" w:w="3135"/>
            <w:shd w:fill="F4F6FA" w:val="clear"/>
          </w:tcPr>
          <w:p>
            <w:r>
              <w:rPr>
                <w:sz w:val="20"/>
              </w:rPr>
              <w:t>Normalizer</w:t>
            </w:r>
          </w:p>
        </w:tc>
        <w:tc>
          <w:tcPr>
            <w:tcW w:type="dxa" w:w="3135"/>
            <w:shd w:fill="F4F6FA" w:val="clear"/>
          </w:tcPr>
          <w:p>
            <w:r>
              <w:rPr>
                <w:sz w:val="20"/>
              </w:rPr>
              <w:t>COBOL normalization may need manual adjustment</w:t>
            </w:r>
          </w:p>
        </w:tc>
      </w:tr>
      <w:tr>
        <w:tc>
          <w:tcPr>
            <w:tcW w:type="dxa" w:w="3135"/>
          </w:tcPr>
          <w:p>
            <w:r>
              <w:rPr>
                <w:sz w:val="20"/>
              </w:rPr>
              <w:t>Rank</w:t>
            </w:r>
          </w:p>
        </w:tc>
        <w:tc>
          <w:tcPr>
            <w:tcW w:type="dxa" w:w="3135"/>
          </w:tcPr>
          <w:p>
            <w:r>
              <w:rPr>
                <w:sz w:val="20"/>
              </w:rPr>
              <w:t>Rank</w:t>
            </w:r>
          </w:p>
        </w:tc>
        <w:tc>
          <w:tcPr>
            <w:tcW w:type="dxa" w:w="3135"/>
          </w:tcPr>
          <w:p>
            <w:r>
              <w:rPr>
                <w:sz w:val="20"/>
              </w:rPr>
              <w:t>Top/Bottom N logic maps directly</w:t>
            </w:r>
          </w:p>
        </w:tc>
      </w:tr>
      <w:tr>
        <w:tc>
          <w:tcPr>
            <w:tcW w:type="dxa" w:w="3135"/>
            <w:shd w:fill="F4F6FA" w:val="clear"/>
          </w:tcPr>
          <w:p>
            <w:r>
              <w:rPr>
                <w:sz w:val="20"/>
              </w:rPr>
              <w:t>Update Strategy</w:t>
            </w:r>
          </w:p>
        </w:tc>
        <w:tc>
          <w:tcPr>
            <w:tcW w:type="dxa" w:w="3135"/>
            <w:shd w:fill="F4F6FA" w:val="clear"/>
          </w:tcPr>
          <w:p>
            <w:r>
              <w:rPr>
                <w:sz w:val="20"/>
              </w:rPr>
              <w:t>Expression + Update Strategy</w:t>
            </w:r>
          </w:p>
        </w:tc>
        <w:tc>
          <w:tcPr>
            <w:tcW w:type="dxa" w:w="3135"/>
            <w:shd w:fill="F4F6FA" w:val="clear"/>
          </w:tcPr>
          <w:p>
            <w:r>
              <w:rPr>
                <w:sz w:val="20"/>
              </w:rPr>
              <w:t>Combine expression logic with target update strategy property</w:t>
            </w:r>
          </w:p>
        </w:tc>
      </w:tr>
      <w:tr>
        <w:tc>
          <w:tcPr>
            <w:tcW w:type="dxa" w:w="3135"/>
          </w:tcPr>
          <w:p>
            <w:r>
              <w:rPr>
                <w:sz w:val="20"/>
              </w:rPr>
              <w:t>Sorter</w:t>
            </w:r>
          </w:p>
        </w:tc>
        <w:tc>
          <w:tcPr>
            <w:tcW w:type="dxa" w:w="3135"/>
          </w:tcPr>
          <w:p>
            <w:r>
              <w:rPr>
                <w:sz w:val="20"/>
              </w:rPr>
              <w:t>Sorter</w:t>
            </w:r>
          </w:p>
        </w:tc>
        <w:tc>
          <w:tcPr>
            <w:tcW w:type="dxa" w:w="3135"/>
          </w:tcPr>
          <w:p>
            <w:r>
              <w:rPr>
                <w:sz w:val="20"/>
              </w:rPr>
              <w:t>Direct 1:1; check sort key compatibility</w:t>
            </w:r>
          </w:p>
        </w:tc>
      </w:tr>
      <w:tr>
        <w:tc>
          <w:tcPr>
            <w:tcW w:type="dxa" w:w="3135"/>
            <w:shd w:fill="F4F6FA" w:val="clear"/>
          </w:tcPr>
          <w:p>
            <w:r>
              <w:rPr>
                <w:sz w:val="20"/>
              </w:rPr>
              <w:t>Filter</w:t>
            </w:r>
          </w:p>
        </w:tc>
        <w:tc>
          <w:tcPr>
            <w:tcW w:type="dxa" w:w="3135"/>
            <w:shd w:fill="F4F6FA" w:val="clear"/>
          </w:tcPr>
          <w:p>
            <w:r>
              <w:rPr>
                <w:sz w:val="20"/>
              </w:rPr>
              <w:t>Filter</w:t>
            </w:r>
          </w:p>
        </w:tc>
        <w:tc>
          <w:tcPr>
            <w:tcW w:type="dxa" w:w="3135"/>
            <w:shd w:fill="F4F6FA" w:val="clear"/>
          </w:tcPr>
          <w:p>
            <w:r>
              <w:rPr>
                <w:sz w:val="20"/>
              </w:rPr>
              <w:t>Direct 1:1 conversion</w:t>
            </w:r>
          </w:p>
        </w:tc>
      </w:tr>
      <w:tr>
        <w:tc>
          <w:tcPr>
            <w:tcW w:type="dxa" w:w="3135"/>
          </w:tcPr>
          <w:p>
            <w:r>
              <w:rPr>
                <w:sz w:val="20"/>
              </w:rPr>
              <w:t>Sequence Generator</w:t>
            </w:r>
          </w:p>
        </w:tc>
        <w:tc>
          <w:tcPr>
            <w:tcW w:type="dxa" w:w="3135"/>
          </w:tcPr>
          <w:p>
            <w:r>
              <w:rPr>
                <w:sz w:val="20"/>
              </w:rPr>
              <w:t>Sequence Generator</w:t>
            </w:r>
          </w:p>
        </w:tc>
        <w:tc>
          <w:tcPr>
            <w:tcW w:type="dxa" w:w="3135"/>
          </w:tcPr>
          <w:p>
            <w:r>
              <w:rPr>
                <w:sz w:val="20"/>
              </w:rPr>
              <w:t>Reset behavior may differ</w:t>
            </w:r>
          </w:p>
        </w:tc>
      </w:tr>
      <w:tr>
        <w:tc>
          <w:tcPr>
            <w:tcW w:type="dxa" w:w="3135"/>
            <w:shd w:fill="F4F6FA" w:val="clear"/>
          </w:tcPr>
          <w:p>
            <w:r>
              <w:rPr>
                <w:sz w:val="20"/>
              </w:rPr>
              <w:t>Stored Procedure</w:t>
            </w:r>
          </w:p>
        </w:tc>
        <w:tc>
          <w:tcPr>
            <w:tcW w:type="dxa" w:w="3135"/>
            <w:shd w:fill="F4F6FA" w:val="clear"/>
          </w:tcPr>
          <w:p>
            <w:r>
              <w:rPr>
                <w:sz w:val="20"/>
              </w:rPr>
              <w:t>See Section 3 (Unsupported)</w:t>
            </w:r>
          </w:p>
        </w:tc>
        <w:tc>
          <w:tcPr>
            <w:tcW w:type="dxa" w:w="3135"/>
            <w:shd w:fill="F4F6FA" w:val="clear"/>
          </w:tcPr>
          <w:p>
            <w:r>
              <w:rPr>
                <w:sz w:val="20"/>
              </w:rPr>
              <w:t>Requires CAI or custom approach</w:t>
            </w:r>
          </w:p>
        </w:tc>
      </w:tr>
      <w:tr>
        <w:tc>
          <w:tcPr>
            <w:tcW w:type="dxa" w:w="3135"/>
          </w:tcPr>
          <w:p>
            <w:r>
              <w:rPr>
                <w:sz w:val="20"/>
              </w:rPr>
              <w:t>External Procedure</w:t>
            </w:r>
          </w:p>
        </w:tc>
        <w:tc>
          <w:tcPr>
            <w:tcW w:type="dxa" w:w="3135"/>
          </w:tcPr>
          <w:p>
            <w:r>
              <w:rPr>
                <w:sz w:val="20"/>
              </w:rPr>
              <w:t>See Section 3 (Unsupported)</w:t>
            </w:r>
          </w:p>
        </w:tc>
        <w:tc>
          <w:tcPr>
            <w:tcW w:type="dxa" w:w="3135"/>
          </w:tcPr>
          <w:p>
            <w:r>
              <w:rPr>
                <w:sz w:val="20"/>
              </w:rPr>
              <w:t>Requires custom connector</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Expression function syntax differs between PC and IICS for some functions. Always validate: DECODE, IIF, LPAD/RPAD, TO_DATE format strings.</w:t>
      </w:r>
    </w:p>
    <w:p/>
    <w:p>
      <w:pPr>
        <w:pStyle w:val="Heading2"/>
      </w:pPr>
      <w:r>
        <w:t>2.1 Expression Function Differences</w:t>
      </w:r>
    </w:p>
    <w:p>
      <w:pPr>
        <w:pStyle w:val="NoSpacing"/>
        <w:shd w:fill="F5F5F5" w:val="clear"/>
        <w:ind w:left="432"/>
      </w:pPr>
      <w:r>
        <w:rPr>
          <w:rFonts w:ascii="Consolas" w:hAnsi="Consolas"/>
          <w:sz w:val="18"/>
        </w:rPr>
        <w:t>-- PowerCenter Expression Syntax</w:t>
      </w:r>
    </w:p>
    <w:p>
      <w:pPr>
        <w:pStyle w:val="NoSpacing"/>
        <w:shd w:fill="F5F5F5" w:val="clear"/>
        <w:ind w:left="432"/>
      </w:pPr>
      <w:r>
        <w:rPr>
          <w:rFonts w:ascii="Consolas" w:hAnsi="Consolas"/>
          <w:sz w:val="18"/>
        </w:rPr>
        <w:t>IIF(ISNULL(INPUT_FIELD), 'N/A', INPUT_FIELD)</w:t>
      </w:r>
    </w:p>
    <w:p>
      <w:pPr>
        <w:pStyle w:val="NoSpacing"/>
        <w:shd w:fill="F5F5F5" w:val="clear"/>
        <w:ind w:left="432"/>
      </w:pPr>
      <w:r>
        <w:rPr>
          <w:rFonts w:ascii="Consolas" w:hAnsi="Consolas"/>
          <w:sz w:val="18"/>
        </w:rPr>
        <w:t>DECODE(STATUS_CODE, 'A','Active', 'I','Inactive', 'Unknown')</w:t>
      </w:r>
    </w:p>
    <w:p>
      <w:pPr>
        <w:pStyle w:val="NoSpacing"/>
        <w:shd w:fill="F5F5F5" w:val="clear"/>
        <w:ind w:left="432"/>
      </w:pPr>
      <w:r>
        <w:rPr>
          <w:rFonts w:ascii="Consolas" w:hAnsi="Consolas"/>
          <w:sz w:val="18"/>
        </w:rPr>
        <w:t>TO_DATE(DATE_STR, 'MM/DD/YYYY')</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IICS Expression Syntax (mostly identical, check edge cases)</w:t>
      </w:r>
    </w:p>
    <w:p>
      <w:pPr>
        <w:pStyle w:val="NoSpacing"/>
        <w:shd w:fill="F5F5F5" w:val="clear"/>
        <w:ind w:left="432"/>
      </w:pPr>
      <w:r>
        <w:rPr>
          <w:rFonts w:ascii="Consolas" w:hAnsi="Consolas"/>
          <w:sz w:val="18"/>
        </w:rPr>
        <w:t>IIF(ISNULL(INPUT_FIELD), 'N/A', INPUT_FIELD)  -- same</w:t>
      </w:r>
    </w:p>
    <w:p>
      <w:pPr>
        <w:pStyle w:val="NoSpacing"/>
        <w:shd w:fill="F5F5F5" w:val="clear"/>
        <w:ind w:left="432"/>
      </w:pPr>
      <w:r>
        <w:rPr>
          <w:rFonts w:ascii="Consolas" w:hAnsi="Consolas"/>
          <w:sz w:val="18"/>
        </w:rPr>
        <w:t>DECODE(STATUS_CODE, 'A','Active', 'I','Inactive', 'Unknown')  -- same</w:t>
      </w:r>
    </w:p>
    <w:p>
      <w:pPr>
        <w:pStyle w:val="NoSpacing"/>
        <w:shd w:fill="F5F5F5" w:val="clear"/>
        <w:ind w:left="432"/>
      </w:pPr>
      <w:r>
        <w:rPr>
          <w:rFonts w:ascii="Consolas" w:hAnsi="Consolas"/>
          <w:sz w:val="18"/>
        </w:rPr>
        <w:t>TO_DATE(DATE_STR, 'MM/DD/YYYY')  -- verify format string support</w:t>
      </w:r>
    </w:p>
    <w:p/>
    <w:p>
      <w:r>
        <w:br w:type="page"/>
      </w:r>
    </w:p>
    <w:p>
      <w:pPr>
        <w:pStyle w:val="Heading1"/>
      </w:pPr>
      <w:r>
        <w:t>3. Unsupported Transformations</w:t>
      </w:r>
    </w:p>
    <w:p>
      <w:r>
        <w:t>Some PowerCenter transformations have no direct IICS CDI equivalent and require alternative implementation strategies.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PC Transformation</w:t>
            </w:r>
          </w:p>
        </w:tc>
        <w:tc>
          <w:tcPr>
            <w:tcW w:type="dxa" w:w="3135"/>
            <w:shd w:fill="0C548A" w:val="clear"/>
          </w:tcPr>
          <w:p>
            <w:r>
              <w:rPr>
                <w:b/>
                <w:color w:val="FFFFFF"/>
                <w:sz w:val="20"/>
              </w:rPr>
              <w:t>IICS Alternative</w:t>
            </w:r>
          </w:p>
        </w:tc>
        <w:tc>
          <w:tcPr>
            <w:tcW w:type="dxa" w:w="3135"/>
            <w:shd w:fill="0C548A" w:val="clear"/>
          </w:tcPr>
          <w:p>
            <w:r>
              <w:rPr>
                <w:b/>
                <w:color w:val="FFFFFF"/>
                <w:sz w:val="20"/>
              </w:rPr>
              <w:t>Implementation Approach</w:t>
            </w:r>
          </w:p>
        </w:tc>
      </w:tr>
      <w:tr>
        <w:tc>
          <w:tcPr>
            <w:tcW w:type="dxa" w:w="3135"/>
          </w:tcPr>
          <w:p>
            <w:r>
              <w:rPr>
                <w:sz w:val="20"/>
              </w:rPr>
              <w:t>Stored Procedure</w:t>
            </w:r>
          </w:p>
        </w:tc>
        <w:tc>
          <w:tcPr>
            <w:tcW w:type="dxa" w:w="3135"/>
          </w:tcPr>
          <w:p>
            <w:r>
              <w:rPr>
                <w:sz w:val="20"/>
              </w:rPr>
              <w:t>CAI (Cloud Application Integration)</w:t>
            </w:r>
          </w:p>
        </w:tc>
        <w:tc>
          <w:tcPr>
            <w:tcW w:type="dxa" w:w="3135"/>
          </w:tcPr>
          <w:p>
            <w:r>
              <w:rPr>
                <w:sz w:val="20"/>
              </w:rPr>
              <w:t>Wrap SP call in a REST API via CAI process; invoke from Taskflow</w:t>
            </w:r>
          </w:p>
        </w:tc>
      </w:tr>
      <w:tr>
        <w:tc>
          <w:tcPr>
            <w:tcW w:type="dxa" w:w="3135"/>
            <w:shd w:fill="F4F6FA" w:val="clear"/>
          </w:tcPr>
          <w:p>
            <w:r>
              <w:rPr>
                <w:sz w:val="20"/>
              </w:rPr>
              <w:t>External Procedure</w:t>
            </w:r>
          </w:p>
        </w:tc>
        <w:tc>
          <w:tcPr>
            <w:tcW w:type="dxa" w:w="3135"/>
            <w:shd w:fill="F4F6FA" w:val="clear"/>
          </w:tcPr>
          <w:p>
            <w:r>
              <w:rPr>
                <w:sz w:val="20"/>
              </w:rPr>
              <w:t>Custom Connector / Python Transform</w:t>
            </w:r>
          </w:p>
        </w:tc>
        <w:tc>
          <w:tcPr>
            <w:tcW w:type="dxa" w:w="3135"/>
            <w:shd w:fill="F4F6FA" w:val="clear"/>
          </w:tcPr>
          <w:p>
            <w:r>
              <w:rPr>
                <w:sz w:val="20"/>
              </w:rPr>
              <w:t>Rewrite logic as Python transformation or build custom connector</w:t>
            </w:r>
          </w:p>
        </w:tc>
      </w:tr>
      <w:tr>
        <w:tc>
          <w:tcPr>
            <w:tcW w:type="dxa" w:w="3135"/>
          </w:tcPr>
          <w:p>
            <w:r>
              <w:rPr>
                <w:sz w:val="20"/>
              </w:rPr>
              <w:t>Java Transformation</w:t>
            </w:r>
          </w:p>
        </w:tc>
        <w:tc>
          <w:tcPr>
            <w:tcW w:type="dxa" w:w="3135"/>
          </w:tcPr>
          <w:p>
            <w:r>
              <w:rPr>
                <w:sz w:val="20"/>
              </w:rPr>
              <w:t>Python Transform / Custom Function</w:t>
            </w:r>
          </w:p>
        </w:tc>
        <w:tc>
          <w:tcPr>
            <w:tcW w:type="dxa" w:w="3135"/>
          </w:tcPr>
          <w:p>
            <w:r>
              <w:rPr>
                <w:sz w:val="20"/>
              </w:rPr>
              <w:t>Port Java logic to Python transform in CDI Advanced mode</w:t>
            </w:r>
          </w:p>
        </w:tc>
      </w:tr>
      <w:tr>
        <w:tc>
          <w:tcPr>
            <w:tcW w:type="dxa" w:w="3135"/>
            <w:shd w:fill="F4F6FA" w:val="clear"/>
          </w:tcPr>
          <w:p>
            <w:r>
              <w:rPr>
                <w:sz w:val="20"/>
              </w:rPr>
              <w:t>Custom Transformation (C)</w:t>
            </w:r>
          </w:p>
        </w:tc>
        <w:tc>
          <w:tcPr>
            <w:tcW w:type="dxa" w:w="3135"/>
            <w:shd w:fill="F4F6FA" w:val="clear"/>
          </w:tcPr>
          <w:p>
            <w:r>
              <w:rPr>
                <w:sz w:val="20"/>
              </w:rPr>
              <w:t>Python Transform / REST API</w:t>
            </w:r>
          </w:p>
        </w:tc>
        <w:tc>
          <w:tcPr>
            <w:tcW w:type="dxa" w:w="3135"/>
            <w:shd w:fill="F4F6FA" w:val="clear"/>
          </w:tcPr>
          <w:p>
            <w:r>
              <w:rPr>
                <w:sz w:val="20"/>
              </w:rPr>
              <w:t>Rewrite in Python or expose as REST service called via HTTP transform</w:t>
            </w:r>
          </w:p>
        </w:tc>
      </w:tr>
      <w:tr>
        <w:tc>
          <w:tcPr>
            <w:tcW w:type="dxa" w:w="3135"/>
          </w:tcPr>
          <w:p>
            <w:r>
              <w:rPr>
                <w:sz w:val="20"/>
              </w:rPr>
              <w:t>Transaction Control</w:t>
            </w:r>
          </w:p>
        </w:tc>
        <w:tc>
          <w:tcPr>
            <w:tcW w:type="dxa" w:w="3135"/>
          </w:tcPr>
          <w:p>
            <w:r>
              <w:rPr>
                <w:sz w:val="20"/>
              </w:rPr>
              <w:t>Taskflow Error Handling</w:t>
            </w:r>
          </w:p>
        </w:tc>
        <w:tc>
          <w:tcPr>
            <w:tcW w:type="dxa" w:w="3135"/>
          </w:tcPr>
          <w:p>
            <w:r>
              <w:rPr>
                <w:sz w:val="20"/>
              </w:rPr>
              <w:t>Replace with Taskflow commit/rollback and error path logic</w:t>
            </w:r>
          </w:p>
        </w:tc>
      </w:tr>
    </w:tbl>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Stored Procedure and External Procedure transformations are the most common blockers in PC-to-IICS migration. Identify these in the Assess phase and allocate specialist resources for replatforming.</w:t>
      </w:r>
    </w:p>
    <w:p/>
    <w:p>
      <w:pPr>
        <w:pStyle w:val="Heading1"/>
      </w:pPr>
      <w:r>
        <w:t>4. Complex Pattern Resolution</w:t>
      </w:r>
    </w:p>
    <w:p>
      <w:pPr>
        <w:pStyle w:val="Heading2"/>
      </w:pPr>
      <w:r>
        <w:t>4.1 Dynamic SQL / SQL Override</w:t>
      </w:r>
    </w:p>
    <w:p>
      <w:r>
        <w:t>PowerCenter Source Qualifier SQL overrides and dynamic SQL in Lookup transformations require special handling in IICS.</w:t>
      </w:r>
    </w:p>
    <w:p>
      <w:pPr>
        <w:pStyle w:val="ListBullet"/>
      </w:pPr>
      <w:r>
        <w:t>Static SQL Override: Move to IICS Source transformation 'Custom Query' property</w:t>
      </w:r>
    </w:p>
    <w:p>
      <w:pPr>
        <w:pStyle w:val="ListBullet"/>
      </w:pPr>
      <w:r>
        <w:t>Dynamic SQL with parameters: Use IICS parameterized queries with $ParamName syntax</w:t>
      </w:r>
    </w:p>
    <w:p>
      <w:pPr>
        <w:pStyle w:val="ListBullet"/>
      </w:pPr>
      <w:r>
        <w:t>Complex dynamic SQL (concatenated strings): Refactor to stored procedure + CAI, or use pre/post SQL</w:t>
      </w:r>
    </w:p>
    <w:p>
      <w:pPr>
        <w:pStyle w:val="NoSpacing"/>
        <w:shd w:fill="F5F5F5" w:val="clear"/>
        <w:ind w:left="432"/>
      </w:pPr>
      <w:r>
        <w:rPr>
          <w:rFonts w:ascii="Consolas" w:hAnsi="Consolas"/>
          <w:sz w:val="18"/>
        </w:rPr>
        <w:t>-- IICS Parameterized Source Query Example</w:t>
      </w:r>
    </w:p>
    <w:p>
      <w:pPr>
        <w:pStyle w:val="NoSpacing"/>
        <w:shd w:fill="F5F5F5" w:val="clear"/>
        <w:ind w:left="432"/>
      </w:pPr>
      <w:r>
        <w:rPr>
          <w:rFonts w:ascii="Consolas" w:hAnsi="Consolas"/>
          <w:sz w:val="18"/>
        </w:rPr>
        <w:t>SELECT customer_id, customer_name, status</w:t>
      </w:r>
    </w:p>
    <w:p>
      <w:pPr>
        <w:pStyle w:val="NoSpacing"/>
        <w:shd w:fill="F5F5F5" w:val="clear"/>
        <w:ind w:left="432"/>
      </w:pPr>
      <w:r>
        <w:rPr>
          <w:rFonts w:ascii="Consolas" w:hAnsi="Consolas"/>
          <w:sz w:val="18"/>
        </w:rPr>
        <w:t>FROM   customers</w:t>
      </w:r>
    </w:p>
    <w:p>
      <w:pPr>
        <w:pStyle w:val="NoSpacing"/>
        <w:shd w:fill="F5F5F5" w:val="clear"/>
        <w:ind w:left="432"/>
      </w:pPr>
      <w:r>
        <w:rPr>
          <w:rFonts w:ascii="Consolas" w:hAnsi="Consolas"/>
          <w:sz w:val="18"/>
        </w:rPr>
        <w:t>WHERE  region = '$InParamRegion'</w:t>
      </w:r>
    </w:p>
    <w:p>
      <w:pPr>
        <w:pStyle w:val="NoSpacing"/>
        <w:shd w:fill="F5F5F5" w:val="clear"/>
        <w:ind w:left="432"/>
      </w:pPr>
      <w:r>
        <w:rPr>
          <w:rFonts w:ascii="Consolas" w:hAnsi="Consolas"/>
          <w:sz w:val="18"/>
        </w:rPr>
        <w:t>AND    last_modified &gt;= '$InParamStartDate'</w:t>
      </w:r>
    </w:p>
    <w:p/>
    <w:p>
      <w:pPr>
        <w:pStyle w:val="Heading2"/>
      </w:pPr>
      <w:r>
        <w:t>4.2 Code Page / Character Set Handling</w:t>
      </w:r>
    </w:p>
    <w:p>
      <w:r>
        <w:t>PowerCenter uses Integration Service code page settings. IICS uses UTF-8 by default. Key considerations:</w:t>
      </w:r>
    </w:p>
    <w:p>
      <w:pPr>
        <w:pStyle w:val="ListBullet"/>
      </w:pPr>
      <w:r>
        <w:t>Ensure source/target databases support UTF-8 or compatible encoding</w:t>
      </w:r>
    </w:p>
    <w:p>
      <w:pPr>
        <w:pStyle w:val="ListBullet"/>
      </w:pPr>
      <w:r>
        <w:t>Test multi-byte character data (CJK, accented characters) after conversion</w:t>
      </w:r>
    </w:p>
    <w:p>
      <w:pPr>
        <w:pStyle w:val="ListBullet"/>
      </w:pPr>
      <w:r>
        <w:t>Flat file connections: explicitly set encoding in IICS connection properties</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Code page mismatches are a silent data corruption risk. Always validate multi-byte character fields during parallel runs.</w:t>
      </w:r>
    </w:p>
    <w:p/>
    <w:p>
      <w:r>
        <w:br w:type="page"/>
      </w:r>
    </w:p>
    <w:p>
      <w:pPr>
        <w:pStyle w:val="Heading1"/>
      </w:pPr>
      <w:r>
        <w:t>5. Naming Conventions for Migrated Assets</w:t>
      </w:r>
    </w:p>
    <w:p>
      <w:r>
        <w:t>Apply consistent naming conventions to all migrated IICS assets for governance, searchability, and lineage clarity.</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Asset Type</w:t>
            </w:r>
          </w:p>
        </w:tc>
        <w:tc>
          <w:tcPr>
            <w:tcW w:type="dxa" w:w="3135"/>
            <w:shd w:fill="0C548A" w:val="clear"/>
          </w:tcPr>
          <w:p>
            <w:r>
              <w:rPr>
                <w:b/>
                <w:color w:val="FFFFFF"/>
                <w:sz w:val="20"/>
              </w:rPr>
              <w:t>Naming Pattern</w:t>
            </w:r>
          </w:p>
        </w:tc>
        <w:tc>
          <w:tcPr>
            <w:tcW w:type="dxa" w:w="3135"/>
            <w:shd w:fill="0C548A" w:val="clear"/>
          </w:tcPr>
          <w:p>
            <w:r>
              <w:rPr>
                <w:b/>
                <w:color w:val="FFFFFF"/>
                <w:sz w:val="20"/>
              </w:rPr>
              <w:t>Example</w:t>
            </w:r>
          </w:p>
        </w:tc>
      </w:tr>
      <w:tr>
        <w:tc>
          <w:tcPr>
            <w:tcW w:type="dxa" w:w="3135"/>
          </w:tcPr>
          <w:p>
            <w:r>
              <w:rPr>
                <w:sz w:val="20"/>
              </w:rPr>
              <w:t>Project</w:t>
            </w:r>
          </w:p>
        </w:tc>
        <w:tc>
          <w:tcPr>
            <w:tcW w:type="dxa" w:w="3135"/>
          </w:tcPr>
          <w:p>
            <w:r>
              <w:rPr>
                <w:sz w:val="20"/>
              </w:rPr>
              <w:t>PRJ_{Domain}_{System}</w:t>
            </w:r>
          </w:p>
        </w:tc>
        <w:tc>
          <w:tcPr>
            <w:tcW w:type="dxa" w:w="3135"/>
          </w:tcPr>
          <w:p>
            <w:r>
              <w:rPr>
                <w:sz w:val="20"/>
              </w:rPr>
              <w:t>PRJ_Finance_SAP</w:t>
            </w:r>
          </w:p>
        </w:tc>
      </w:tr>
      <w:tr>
        <w:tc>
          <w:tcPr>
            <w:tcW w:type="dxa" w:w="3135"/>
            <w:shd w:fill="F4F6FA" w:val="clear"/>
          </w:tcPr>
          <w:p>
            <w:r>
              <w:rPr>
                <w:sz w:val="20"/>
              </w:rPr>
              <w:t>Folder</w:t>
            </w:r>
          </w:p>
        </w:tc>
        <w:tc>
          <w:tcPr>
            <w:tcW w:type="dxa" w:w="3135"/>
            <w:shd w:fill="F4F6FA" w:val="clear"/>
          </w:tcPr>
          <w:p>
            <w:r>
              <w:rPr>
                <w:sz w:val="20"/>
              </w:rPr>
              <w:t>{FolderFunction}</w:t>
            </w:r>
          </w:p>
        </w:tc>
        <w:tc>
          <w:tcPr>
            <w:tcW w:type="dxa" w:w="3135"/>
            <w:shd w:fill="F4F6FA" w:val="clear"/>
          </w:tcPr>
          <w:p>
            <w:r>
              <w:rPr>
                <w:sz w:val="20"/>
              </w:rPr>
              <w:t>Staging, Transform, Load</w:t>
            </w:r>
          </w:p>
        </w:tc>
      </w:tr>
      <w:tr>
        <w:tc>
          <w:tcPr>
            <w:tcW w:type="dxa" w:w="3135"/>
          </w:tcPr>
          <w:p>
            <w:r>
              <w:rPr>
                <w:sz w:val="20"/>
              </w:rPr>
              <w:t>Mapping</w:t>
            </w:r>
          </w:p>
        </w:tc>
        <w:tc>
          <w:tcPr>
            <w:tcW w:type="dxa" w:w="3135"/>
          </w:tcPr>
          <w:p>
            <w:r>
              <w:rPr>
                <w:sz w:val="20"/>
              </w:rPr>
              <w:t>m_{Source}_{Target}_{Function}</w:t>
            </w:r>
          </w:p>
        </w:tc>
        <w:tc>
          <w:tcPr>
            <w:tcW w:type="dxa" w:w="3135"/>
          </w:tcPr>
          <w:p>
            <w:r>
              <w:rPr>
                <w:sz w:val="20"/>
              </w:rPr>
              <w:t>m_SAP_DW_CustomerLoad</w:t>
            </w:r>
          </w:p>
        </w:tc>
      </w:tr>
      <w:tr>
        <w:tc>
          <w:tcPr>
            <w:tcW w:type="dxa" w:w="3135"/>
            <w:shd w:fill="F4F6FA" w:val="clear"/>
          </w:tcPr>
          <w:p>
            <w:r>
              <w:rPr>
                <w:sz w:val="20"/>
              </w:rPr>
              <w:t>Mapping Task</w:t>
            </w:r>
          </w:p>
        </w:tc>
        <w:tc>
          <w:tcPr>
            <w:tcW w:type="dxa" w:w="3135"/>
            <w:shd w:fill="F4F6FA" w:val="clear"/>
          </w:tcPr>
          <w:p>
            <w:r>
              <w:rPr>
                <w:sz w:val="20"/>
              </w:rPr>
              <w:t>mt_{MappingName}</w:t>
            </w:r>
          </w:p>
        </w:tc>
        <w:tc>
          <w:tcPr>
            <w:tcW w:type="dxa" w:w="3135"/>
            <w:shd w:fill="F4F6FA" w:val="clear"/>
          </w:tcPr>
          <w:p>
            <w:r>
              <w:rPr>
                <w:sz w:val="20"/>
              </w:rPr>
              <w:t>mt_m_SAP_DW_CustomerLoad</w:t>
            </w:r>
          </w:p>
        </w:tc>
      </w:tr>
      <w:tr>
        <w:tc>
          <w:tcPr>
            <w:tcW w:type="dxa" w:w="3135"/>
          </w:tcPr>
          <w:p>
            <w:r>
              <w:rPr>
                <w:sz w:val="20"/>
              </w:rPr>
              <w:t>Taskflow</w:t>
            </w:r>
          </w:p>
        </w:tc>
        <w:tc>
          <w:tcPr>
            <w:tcW w:type="dxa" w:w="3135"/>
          </w:tcPr>
          <w:p>
            <w:r>
              <w:rPr>
                <w:sz w:val="20"/>
              </w:rPr>
              <w:t>tf_{WorkflowName}</w:t>
            </w:r>
          </w:p>
        </w:tc>
        <w:tc>
          <w:tcPr>
            <w:tcW w:type="dxa" w:w="3135"/>
          </w:tcPr>
          <w:p>
            <w:r>
              <w:rPr>
                <w:sz w:val="20"/>
              </w:rPr>
              <w:t>tf_wf_Daily_SAP_Extract</w:t>
            </w:r>
          </w:p>
        </w:tc>
      </w:tr>
      <w:tr>
        <w:tc>
          <w:tcPr>
            <w:tcW w:type="dxa" w:w="3135"/>
            <w:shd w:fill="F4F6FA" w:val="clear"/>
          </w:tcPr>
          <w:p>
            <w:r>
              <w:rPr>
                <w:sz w:val="20"/>
              </w:rPr>
              <w:t>Connection</w:t>
            </w:r>
          </w:p>
        </w:tc>
        <w:tc>
          <w:tcPr>
            <w:tcW w:type="dxa" w:w="3135"/>
            <w:shd w:fill="F4F6FA" w:val="clear"/>
          </w:tcPr>
          <w:p>
            <w:r>
              <w:rPr>
                <w:sz w:val="20"/>
              </w:rPr>
              <w:t>conn_{Type}_{Env}_{System}</w:t>
            </w:r>
          </w:p>
        </w:tc>
        <w:tc>
          <w:tcPr>
            <w:tcW w:type="dxa" w:w="3135"/>
            <w:shd w:fill="F4F6FA" w:val="clear"/>
          </w:tcPr>
          <w:p>
            <w:r>
              <w:rPr>
                <w:sz w:val="20"/>
              </w:rPr>
              <w:t>conn_Oracle_PROD_SAP</w:t>
            </w:r>
          </w:p>
        </w:tc>
      </w:tr>
      <w:tr>
        <w:tc>
          <w:tcPr>
            <w:tcW w:type="dxa" w:w="3135"/>
          </w:tcPr>
          <w:p>
            <w:r>
              <w:rPr>
                <w:sz w:val="20"/>
              </w:rPr>
              <w:t>Parameter Set</w:t>
            </w:r>
          </w:p>
        </w:tc>
        <w:tc>
          <w:tcPr>
            <w:tcW w:type="dxa" w:w="3135"/>
          </w:tcPr>
          <w:p>
            <w:r>
              <w:rPr>
                <w:sz w:val="20"/>
              </w:rPr>
              <w:t>ps_{Scope}_{Name}</w:t>
            </w:r>
          </w:p>
        </w:tc>
        <w:tc>
          <w:tcPr>
            <w:tcW w:type="dxa" w:w="3135"/>
          </w:tcPr>
          <w:p>
            <w:r>
              <w:rPr>
                <w:sz w:val="20"/>
              </w:rPr>
              <w:t>ps_Global_DBCredentials</w:t>
            </w:r>
          </w:p>
        </w:tc>
      </w:tr>
      <w:tr>
        <w:tc>
          <w:tcPr>
            <w:tcW w:type="dxa" w:w="3135"/>
            <w:shd w:fill="F4F6FA" w:val="clear"/>
          </w:tcPr>
          <w:p>
            <w:r>
              <w:rPr>
                <w:sz w:val="20"/>
              </w:rPr>
              <w:t>Schedule</w:t>
            </w:r>
          </w:p>
        </w:tc>
        <w:tc>
          <w:tcPr>
            <w:tcW w:type="dxa" w:w="3135"/>
            <w:shd w:fill="F4F6FA" w:val="clear"/>
          </w:tcPr>
          <w:p>
            <w:r>
              <w:rPr>
                <w:sz w:val="20"/>
              </w:rPr>
              <w:t>sch_{Frequency}_{Name}</w:t>
            </w:r>
          </w:p>
        </w:tc>
        <w:tc>
          <w:tcPr>
            <w:tcW w:type="dxa" w:w="3135"/>
            <w:shd w:fill="F4F6FA" w:val="clear"/>
          </w:tcPr>
          <w:p>
            <w:r>
              <w:rPr>
                <w:sz w:val="20"/>
              </w:rPr>
              <w:t>sch_Daily_SAP_Morning</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Prefix migrated assets with 'm_' or 'mig_' during parallel run to distinguish them from any net-new IICS development. Remove prefix after PC decommission is complete.</w:t>
      </w:r>
    </w:p>
    <w:p/>
    <w:p>
      <w:pPr>
        <w:pStyle w:val="Heading1"/>
      </w:pPr>
      <w:r>
        <w:t>6. Validation Checklists</w:t>
      </w:r>
    </w:p>
    <w:p>
      <w:pPr>
        <w:pStyle w:val="Heading2"/>
      </w:pPr>
      <w:r>
        <w:t>6.1 Unit Test Checklist (per Mapping)</w:t>
      </w:r>
    </w:p>
    <w:p>
      <w:pPr>
        <w:pStyle w:val="ListBullet"/>
      </w:pPr>
      <w:r>
        <w:t>Row count matches between PC and IICS output</w:t>
      </w:r>
    </w:p>
    <w:p>
      <w:pPr>
        <w:pStyle w:val="ListBullet"/>
      </w:pPr>
      <w:r>
        <w:t>Checksum (MD5/SHA256) on key columns matches</w:t>
      </w:r>
    </w:p>
    <w:p>
      <w:pPr>
        <w:pStyle w:val="ListBullet"/>
      </w:pPr>
      <w:r>
        <w:t>NULL handling is consistent (empty string vs NULL)</w:t>
      </w:r>
    </w:p>
    <w:p>
      <w:pPr>
        <w:pStyle w:val="ListBullet"/>
      </w:pPr>
      <w:r>
        <w:t>Date/time formatting and timezone handling verified</w:t>
      </w:r>
    </w:p>
    <w:p>
      <w:pPr>
        <w:pStyle w:val="ListBullet"/>
      </w:pPr>
      <w:r>
        <w:t>Decimal precision matches (scale and rounding)</w:t>
      </w:r>
    </w:p>
    <w:p>
      <w:pPr>
        <w:pStyle w:val="ListBullet"/>
      </w:pPr>
      <w:r>
        <w:t>Lookup return values match for all join conditions</w:t>
      </w:r>
    </w:p>
    <w:p>
      <w:pPr>
        <w:pStyle w:val="ListBullet"/>
      </w:pPr>
      <w:r>
        <w:t>Error handling produces expected reject/error rows</w:t>
      </w:r>
    </w:p>
    <w:p>
      <w:pPr>
        <w:pStyle w:val="Heading2"/>
      </w:pPr>
      <w:r>
        <w:t>6.2 Integration Test Checklist (per Taskflow)</w:t>
      </w:r>
    </w:p>
    <w:p>
      <w:pPr>
        <w:pStyle w:val="ListBullet"/>
      </w:pPr>
      <w:r>
        <w:t>All tasks in Taskflow execute in correct order</w:t>
      </w:r>
    </w:p>
    <w:p>
      <w:pPr>
        <w:pStyle w:val="ListBullet"/>
      </w:pPr>
      <w:r>
        <w:t>Conditional branching (success/failure paths) works correctly</w:t>
      </w:r>
    </w:p>
    <w:p>
      <w:pPr>
        <w:pStyle w:val="ListBullet"/>
      </w:pPr>
      <w:r>
        <w:t>Parameter passing between tasks is validated</w:t>
      </w:r>
    </w:p>
    <w:p>
      <w:pPr>
        <w:pStyle w:val="ListBullet"/>
      </w:pPr>
      <w:r>
        <w:t>Email/alert notifications fire on success and failure</w:t>
      </w:r>
    </w:p>
    <w:p>
      <w:pPr>
        <w:pStyle w:val="ListBullet"/>
      </w:pPr>
      <w:r>
        <w:t>Restart/recovery works correctly after simulated failure</w:t>
      </w:r>
    </w:p>
    <w:p>
      <w:pPr>
        <w:pStyle w:val="ListBullet"/>
      </w:pPr>
      <w:r>
        <w:t>End-to-end runtime is within acceptable SLA</w:t>
      </w:r>
    </w:p>
    <w:p>
      <w:pPr>
        <w:pStyle w:val="Heading2"/>
      </w:pPr>
      <w:r>
        <w:t>6.3 Regression Test Checklist (Wave Level)</w:t>
      </w:r>
    </w:p>
    <w:p>
      <w:pPr>
        <w:pStyle w:val="ListBullet"/>
      </w:pPr>
      <w:r>
        <w:t>All mappings in the wave pass unit test</w:t>
      </w:r>
    </w:p>
    <w:p>
      <w:pPr>
        <w:pStyle w:val="ListBullet"/>
      </w:pPr>
      <w:r>
        <w:t>No impact on other waves already in production</w:t>
      </w:r>
    </w:p>
    <w:p>
      <w:pPr>
        <w:pStyle w:val="ListBullet"/>
      </w:pPr>
      <w:r>
        <w:t>Downstream consumers validated (reports, dashboards, APIs)</w:t>
      </w:r>
    </w:p>
    <w:p>
      <w:pPr>
        <w:pStyle w:val="ListBullet"/>
      </w:pPr>
      <w:r>
        <w:t>Performance baseline documented and within threshold</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Use automated validation scripts to compare PC and IICS outputs. Manual spot-checking is insufficient for production cutover confidence.</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INFA PC to IICS Migration Guide (#36)</w:t>
            </w:r>
          </w:p>
        </w:tc>
        <w:tc>
          <w:tcPr>
            <w:tcW w:type="dxa" w:w="4703"/>
          </w:tcPr>
          <w:p>
            <w:r>
              <w:rPr>
                <w:sz w:val="20"/>
              </w:rPr>
              <w:t>Migration_Library/PC_to_IICS/</w:t>
            </w:r>
          </w:p>
        </w:tc>
      </w:tr>
      <w:tr>
        <w:tc>
          <w:tcPr>
            <w:tcW w:type="dxa" w:w="4703"/>
            <w:shd w:fill="F4F6FA" w:val="clear"/>
          </w:tcPr>
          <w:p>
            <w:r>
              <w:rPr>
                <w:sz w:val="20"/>
              </w:rPr>
              <w:t>INFA CDI Mapping Development Guide</w:t>
            </w:r>
          </w:p>
        </w:tc>
        <w:tc>
          <w:tcPr>
            <w:tcW w:type="dxa" w:w="4703"/>
            <w:shd w:fill="F4F6FA" w:val="clear"/>
          </w:tcPr>
          <w:p>
            <w:r>
              <w:rPr>
                <w:sz w:val="20"/>
              </w:rPr>
              <w:t>Development_Library/CDI/</w:t>
            </w:r>
          </w:p>
        </w:tc>
      </w:tr>
      <w:tr>
        <w:tc>
          <w:tcPr>
            <w:tcW w:type="dxa" w:w="4703"/>
          </w:tcPr>
          <w:p>
            <w:r>
              <w:rPr>
                <w:sz w:val="20"/>
              </w:rPr>
              <w:t>INFA Naming Convention Standard</w:t>
            </w:r>
          </w:p>
        </w:tc>
        <w:tc>
          <w:tcPr>
            <w:tcW w:type="dxa" w:w="4703"/>
          </w:tcPr>
          <w:p>
            <w:r>
              <w:rPr>
                <w:sz w:val="20"/>
              </w:rPr>
              <w:t>Governance_Library/Standards/</w:t>
            </w:r>
          </w:p>
        </w:tc>
      </w:tr>
      <w:tr>
        <w:tc>
          <w:tcPr>
            <w:tcW w:type="dxa" w:w="4703"/>
            <w:shd w:fill="F4F6FA" w:val="clear"/>
          </w:tcPr>
          <w:p>
            <w:r>
              <w:rPr>
                <w:sz w:val="20"/>
              </w:rPr>
              <w:t>INFA Testing &amp; Validation Framework</w:t>
            </w:r>
          </w:p>
        </w:tc>
        <w:tc>
          <w:tcPr>
            <w:tcW w:type="dxa" w:w="4703"/>
            <w:shd w:fill="F4F6FA" w:val="clear"/>
          </w:tcPr>
          <w:p>
            <w:r>
              <w:rPr>
                <w:sz w:val="20"/>
              </w:rPr>
              <w:t>Quality_Library/Testing/</w:t>
            </w:r>
          </w:p>
        </w:tc>
      </w:tr>
      <w:tr>
        <w:tc>
          <w:tcPr>
            <w:tcW w:type="dxa" w:w="4703"/>
          </w:tcPr>
          <w:p>
            <w:r>
              <w:rPr>
                <w:sz w:val="20"/>
              </w:rPr>
              <w:t>INFA PowerCenter Decommission Checklist</w:t>
            </w:r>
          </w:p>
        </w:tc>
        <w:tc>
          <w:tcPr>
            <w:tcW w:type="dxa" w:w="4703"/>
          </w:tcPr>
          <w:p>
            <w:r>
              <w:rPr>
                <w:sz w:val="20"/>
              </w:rPr>
              <w:t>Migration_Library/PC_to_IICS/</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