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/>
    </w:p>
    <w:p/>
    <w:p>
      <w:pPr>
        <w:pStyle w:val="Title"/>
      </w:pPr>
      <w:r>
        <w:rPr>
          <w:color w:val="0C548A"/>
          <w:sz w:val="56"/>
        </w:rPr>
        <w:t>INFA PC to IICS Migration Guide</w:t>
      </w:r>
    </w:p>
    <w:p>
      <w:r>
        <w:rPr>
          <w:b/>
          <w:color w:val="FF6D00"/>
          <w:sz w:val="28"/>
        </w:rPr>
        <w:t>Mastech Digital — Informatica Platform Assets</w:t>
      </w:r>
    </w:p>
    <w:p>
      <w:r>
        <w:rPr>
          <w:i/>
          <w:color w:val="4B5563"/>
          <w:sz w:val="22"/>
        </w:rPr>
        <w:t>Comprehensive guide for migrating from PowerCenter to Informatica Intelligent Cloud Services (IICS).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Document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INFA PC to IICS Migration Guide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Category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Migration - PC to IICS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Document ID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#36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Version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1.0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Date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February 2026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Author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Mastech Digital — Informatica Practice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Reviewed By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Pending – Internal Review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Status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Draft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Classification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Internal – Mastech Digital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Platform Version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Informatica IDMC (IICS) – Early 2026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Next Review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August 2026</w:t>
            </w:r>
          </w:p>
        </w:tc>
      </w:tr>
    </w:tbl>
    <w:p/>
    <w:p>
      <w:r>
        <w:br w:type="page"/>
      </w:r>
    </w:p>
    <w:p>
      <w:pPr>
        <w:pStyle w:val="Heading1"/>
      </w:pPr>
      <w:r>
        <w:t>Executive Summary</w:t>
      </w:r>
    </w:p>
    <w:p>
      <w:r>
        <w:t>Migrating from Informatica PowerCenter (PC) to Informatica Intelligent Cloud Services (IICS) is a strategic initiative that modernizes data integration, reduces infrastructure overhead, and unlocks cloud-native capabilities such as elastic scaling, CLAIRE AI recommendations, and serverless execution. This guide defines the 7-Phase Migration Factory methodology, wave planning with complexity scoring, automated conversion accelerators, parallel run strategy, and cutover planning to ensure a controlled, risk-managed transition.</w:t>
      </w:r>
    </w:p>
    <w:p/>
    <w:p>
      <w:pPr>
        <w:pStyle w:val="Heading1"/>
      </w:pPr>
      <w:r>
        <w:t>Table of Contents</w:t>
      </w:r>
    </w:p>
    <w:p>
      <w:pPr>
        <w:spacing w:after="60"/>
      </w:pPr>
      <w:r>
        <w:rPr>
          <w:color w:val="0C548A"/>
          <w:sz w:val="22"/>
        </w:rPr>
        <w:t>1.0  Migration Approach Options</w:t>
      </w:r>
    </w:p>
    <w:p>
      <w:pPr>
        <w:spacing w:after="60"/>
      </w:pPr>
      <w:r>
        <w:rPr>
          <w:color w:val="0C548A"/>
          <w:sz w:val="22"/>
        </w:rPr>
        <w:t>2.0  7-Phase Migration Factory</w:t>
      </w:r>
    </w:p>
    <w:p>
      <w:pPr>
        <w:spacing w:after="60"/>
      </w:pPr>
      <w:r>
        <w:rPr>
          <w:color w:val="0C548A"/>
          <w:sz w:val="22"/>
        </w:rPr>
        <w:t>3.0  Wave Planning &amp; Complexity Scoring</w:t>
      </w:r>
    </w:p>
    <w:p>
      <w:pPr>
        <w:spacing w:after="60"/>
      </w:pPr>
      <w:r>
        <w:rPr>
          <w:color w:val="0C548A"/>
          <w:sz w:val="22"/>
        </w:rPr>
        <w:t>4.0  Migration Accelerator Tool</w:t>
      </w:r>
    </w:p>
    <w:p>
      <w:pPr>
        <w:spacing w:after="60"/>
      </w:pPr>
      <w:r>
        <w:rPr>
          <w:color w:val="0C548A"/>
          <w:sz w:val="22"/>
        </w:rPr>
        <w:t>5.0  Parallel Run &amp; Cutover Strategy</w:t>
      </w:r>
    </w:p>
    <w:p>
      <w:pPr>
        <w:spacing w:after="60"/>
      </w:pPr>
      <w:r>
        <w:rPr>
          <w:color w:val="0C548A"/>
          <w:sz w:val="22"/>
        </w:rPr>
        <w:t>6.0  CLAIRE AI Acceleration</w:t>
      </w:r>
    </w:p>
    <w:p>
      <w:pPr>
        <w:spacing w:after="60"/>
      </w:pPr>
      <w:r>
        <w:rPr>
          <w:color w:val="0C548A"/>
          <w:sz w:val="22"/>
        </w:rPr>
        <w:t>7.0  Risk Management &amp; Quality Gates</w:t>
      </w:r>
    </w:p>
    <w:p>
      <w:pPr>
        <w:spacing w:after="60"/>
      </w:pPr>
      <w:r>
        <w:rPr>
          <w:color w:val="0C548A"/>
          <w:sz w:val="22"/>
        </w:rPr>
        <w:t>8.0  Timeline Estimates</w:t>
      </w:r>
    </w:p>
    <w:p>
      <w:pPr>
        <w:spacing w:after="60"/>
      </w:pPr>
      <w:r>
        <w:rPr>
          <w:color w:val="0C548A"/>
          <w:sz w:val="22"/>
        </w:rPr>
        <w:t>9.0  Prerequisites &amp; Applicability</w:t>
      </w:r>
    </w:p>
    <w:p>
      <w:pPr>
        <w:spacing w:after="60"/>
      </w:pPr>
      <w:r>
        <w:rPr>
          <w:color w:val="0C548A"/>
          <w:sz w:val="22"/>
        </w:rPr>
        <w:t>10.0  Related Assets</w:t>
      </w:r>
    </w:p>
    <w:p>
      <w:r>
        <w:br w:type="page"/>
      </w:r>
    </w:p>
    <w:p>
      <w:pPr>
        <w:pStyle w:val="Heading1"/>
      </w:pPr>
      <w:r>
        <w:t>Prerequisites &amp; Applicability</w:t>
      </w:r>
    </w:p>
    <w:p>
      <w:pPr>
        <w:pStyle w:val="ListBullet"/>
      </w:pPr>
      <w:r>
        <w:t>Informatica PowerCenter 10.2+ currently in production</w:t>
      </w:r>
    </w:p>
    <w:p>
      <w:pPr>
        <w:pStyle w:val="ListBullet"/>
      </w:pPr>
      <w:r>
        <w:t>IICS Org provisioned with CDI (Cloud Data Integration) license</w:t>
      </w:r>
    </w:p>
    <w:p>
      <w:pPr>
        <w:pStyle w:val="ListBullet"/>
      </w:pPr>
      <w:r>
        <w:t>Secure Agent installed and registered on target runtime environment</w:t>
      </w:r>
    </w:p>
    <w:p>
      <w:pPr>
        <w:pStyle w:val="ListBullet"/>
      </w:pPr>
      <w:r>
        <w:t>Network connectivity between Secure Agent, source/target databases, and IICS cloud</w:t>
      </w:r>
    </w:p>
    <w:p>
      <w:pPr>
        <w:pStyle w:val="ListBullet"/>
      </w:pPr>
      <w:r>
        <w:t>PowerCenter repository metadata export (XML or repository query access)</w:t>
      </w:r>
    </w:p>
    <w:p>
      <w:pPr>
        <w:pStyle w:val="ListBullet"/>
      </w:pPr>
      <w:r>
        <w:t>Migration Accelerator license (included with IICS Advanced package)</w:t>
      </w:r>
    </w:p>
    <w:p>
      <w:pPr>
        <w:pStyle w:val="ListBullet"/>
      </w:pPr>
      <w:r>
        <w:t>Dedicated migration team with PC and IICS skills</w:t>
      </w:r>
    </w:p>
    <w:p/>
    <w:p>
      <w:pPr>
        <w:pStyle w:val="Heading1"/>
      </w:pPr>
      <w:r>
        <w:t>1. Migration Approach Options</w:t>
      </w:r>
    </w:p>
    <w:p>
      <w:r>
        <w:t>Organizations must choose the right migration strategy for each workload. The three primary approaches are lift-and-shift, refactor, and retire.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Approach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Description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When to Use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Effort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Lift-and-Shift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Automated 1:1 conversion of PC objects to IICS equivalents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Simple mappings, standard transformations, tight timelines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Low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Refactor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Redesign mappings to leverage IICS-native features (pushdown, serverless)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Complex workflows, performance-critical jobs, ELT candidates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Medium-High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Retire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Decommission obsolete or redundant mappings without migration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Unused workflows, duplicate logic, legacy feeds with no consumers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Minimal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Replatform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Move to a different IICS service (e.g., CDI-E, CDGC, CAI)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Stored procedures, real-time CDC, API-driven orchestration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Medium</w:t>
            </w:r>
          </w:p>
        </w:tc>
      </w:tr>
    </w:tbl>
    <w:p/>
    <w:p>
      <w:pPr>
        <w:shd w:fill="E8F5E9" w:val="clear"/>
        <w:pBdr>
          <w:top w:val="single" w:sz="4" w:space="4" w:color="4CAF50"/>
          <w:left w:val="single" w:sz="12" w:space="4" w:color="4CAF50"/>
          <w:right w:val="single" w:sz="4" w:space="4" w:color="4CAF50"/>
        </w:pBdr>
        <w:spacing w:after="0"/>
        <w:ind w:left="432" w:right="432"/>
      </w:pPr>
      <w:r>
        <w:rPr>
          <w:b/>
          <w:color w:val="4CAF50"/>
          <w:sz w:val="20"/>
        </w:rPr>
        <w:t xml:space="preserve">  BEST PRACTICE</w:t>
      </w:r>
    </w:p>
    <w:p>
      <w:pPr>
        <w:shd w:fill="E8F5E9" w:val="clear"/>
        <w:pBdr>
          <w:bottom w:val="single" w:sz="4" w:space="4" w:color="4CAF50"/>
          <w:left w:val="single" w:sz="12" w:space="4" w:color="4CAF50"/>
          <w:right w:val="single" w:sz="4" w:space="4" w:color="4CAF50"/>
        </w:pBdr>
        <w:spacing w:before="0"/>
        <w:ind w:left="432" w:right="432"/>
      </w:pPr>
      <w:r>
        <w:rPr>
          <w:color w:val="4B5563"/>
          <w:sz w:val="20"/>
        </w:rPr>
        <w:t xml:space="preserve">  Start with lift-and-shift for 60-70% of simple mappings to build momentum, then refactor complex/high-value pipelines in later waves.</w:t>
      </w:r>
    </w:p>
    <w:p/>
    <w:p>
      <w:r>
        <w:br w:type="page"/>
      </w:r>
    </w:p>
    <w:p>
      <w:pPr>
        <w:pStyle w:val="Heading1"/>
      </w:pPr>
      <w:r>
        <w:t>2. 7-Phase Migration Factory</w:t>
      </w:r>
    </w:p>
    <w:p>
      <w:r>
        <w:t>The Migration Factory follows a repeatable 7-phase lifecycle per wave.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Phase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Name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Key Activities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Exit Criteria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Assess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Inventory PC objects, classify complexity, identify dependencies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Complexity-scored inventory spreadsheet signed off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Prepare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Set up IICS Org, Secure Agent, connections, naming standards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Target environment validated with smoke test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Convert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Run Migration Accelerator or manual conversion; resolve errors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All objects converted with zero critical errors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Validate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Unit test each mapping; compare row counts and data checksums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100% pass on validation checklist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Organize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Assign folders/projects, apply naming conventions, tag assets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Governance review approved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6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Productionize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Configure schedules, alerts, SLA monitors; run parallel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Parallel run shows &lt;1% variance for 3 cycles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7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Optimize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Enable pushdown optimization, tune memory, refactor hot paths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Performance baseline meets or exceeds PC benchmarks</w:t>
            </w:r>
          </w:p>
        </w:tc>
      </w:tr>
    </w:tbl>
    <w:p/>
    <w:p>
      <w:pPr>
        <w:shd w:fill="E3F2FD" w:val="clear"/>
        <w:pBdr>
          <w:top w:val="single" w:sz="4" w:space="4" w:color="2196F3"/>
          <w:left w:val="single" w:sz="12" w:space="4" w:color="2196F3"/>
          <w:right w:val="single" w:sz="4" w:space="4" w:color="2196F3"/>
        </w:pBdr>
        <w:spacing w:after="0"/>
        <w:ind w:left="432" w:right="432"/>
      </w:pPr>
      <w:r>
        <w:rPr>
          <w:b/>
          <w:color w:val="2196F3"/>
          <w:sz w:val="20"/>
        </w:rPr>
        <w:t xml:space="preserve">  INFO</w:t>
      </w:r>
    </w:p>
    <w:p>
      <w:pPr>
        <w:shd w:fill="E3F2FD" w:val="clear"/>
        <w:pBdr>
          <w:bottom w:val="single" w:sz="4" w:space="4" w:color="2196F3"/>
          <w:left w:val="single" w:sz="12" w:space="4" w:color="2196F3"/>
          <w:right w:val="single" w:sz="4" w:space="4" w:color="2196F3"/>
        </w:pBdr>
        <w:spacing w:before="0"/>
        <w:ind w:left="432" w:right="432"/>
      </w:pPr>
      <w:r>
        <w:rPr>
          <w:color w:val="4B5563"/>
          <w:sz w:val="20"/>
        </w:rPr>
        <w:t xml:space="preserve">  Each phase has a formal quality gate. Do not proceed to the next phase until exit criteria are met and documented.</w:t>
      </w:r>
    </w:p>
    <w:p/>
    <w:p>
      <w:pPr>
        <w:pStyle w:val="Heading2"/>
      </w:pPr>
      <w:r>
        <w:t>2.1 Phase Details - Assess</w:t>
      </w:r>
    </w:p>
    <w:p>
      <w:r>
        <w:t>The Assess phase inventories every PowerCenter object (mappings, sessions, workflows, worklets, mapplets) and assigns a complexity score. Use repository queries or the Migration Accelerator's assessment report.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-- PC Repository Query: Object Inventory Count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SELECT SUBJECT_AREA AS folder,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OBJECT_TYPE,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COUNT(*) AS obj_count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FROM   OPB_OBJECT_TYPE ot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JOIN   OPB_SUBJECT      s ON ot.SUBJ_ID = s.SUBJ_ID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GROUP BY SUBJECT_AREA, OBJECT_TYPE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ORDER BY obj_count DESC;</w:t>
      </w:r>
    </w:p>
    <w:p/>
    <w:p>
      <w:r>
        <w:br w:type="page"/>
      </w:r>
    </w:p>
    <w:p>
      <w:pPr>
        <w:pStyle w:val="Heading1"/>
      </w:pPr>
      <w:r>
        <w:t>3. Wave Planning &amp; Complexity Scoring</w:t>
      </w:r>
    </w:p>
    <w:p>
      <w:r>
        <w:t>Divide the migration into waves of 30-60 mappings each. Each mapping receives a complexity score that drives effort estimation and resource allocation.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Complexity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Criteria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Effort (hrs)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Auto-Convert?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Low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&lt;=5 transformations, standard sources/targets, no lookups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2-4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Yes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Medium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6-15 transformations, 1-3 lookups, simple expressions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4-8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Partial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High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16-30 transformations, complex SQL overrides, dynamic lookups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8-20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Manual review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Very High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Stored procedures, external procedures, Java transforms, custom code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20-40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Manual rewrite</w:t>
            </w:r>
          </w:p>
        </w:tc>
      </w:tr>
    </w:tbl>
    <w:p/>
    <w:p>
      <w:pPr>
        <w:shd w:fill="FFF3E0" w:val="clear"/>
        <w:pBdr>
          <w:top w:val="single" w:sz="4" w:space="4" w:color="FF9800"/>
          <w:left w:val="single" w:sz="12" w:space="4" w:color="FF9800"/>
          <w:right w:val="single" w:sz="4" w:space="4" w:color="FF9800"/>
        </w:pBdr>
        <w:spacing w:after="0"/>
        <w:ind w:left="432" w:right="432"/>
      </w:pPr>
      <w:r>
        <w:rPr>
          <w:b/>
          <w:color w:val="FF9800"/>
          <w:sz w:val="20"/>
        </w:rPr>
        <w:t xml:space="preserve">  WARNING</w:t>
      </w:r>
    </w:p>
    <w:p>
      <w:pPr>
        <w:shd w:fill="FFF3E0" w:val="clear"/>
        <w:pBdr>
          <w:bottom w:val="single" w:sz="4" w:space="4" w:color="FF9800"/>
          <w:left w:val="single" w:sz="12" w:space="4" w:color="FF9800"/>
          <w:right w:val="single" w:sz="4" w:space="4" w:color="FF9800"/>
        </w:pBdr>
        <w:spacing w:before="0"/>
        <w:ind w:left="432" w:right="432"/>
      </w:pPr>
      <w:r>
        <w:rPr>
          <w:color w:val="4B5563"/>
          <w:sz w:val="20"/>
        </w:rPr>
        <w:t xml:space="preserve">  Very High complexity objects may require replatforming to CAI or custom connectors. Plan these in dedicated waves with specialist resources.</w:t>
      </w:r>
    </w:p>
    <w:p/>
    <w:p>
      <w:pPr>
        <w:pStyle w:val="Heading2"/>
      </w:pPr>
      <w:r>
        <w:t>3.1 Wave Planning Template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fill="0C548A" w:val="clear"/>
          </w:tcPr>
          <w:p>
            <w:r>
              <w:rPr>
                <w:b/>
                <w:color w:val="FFFFFF"/>
                <w:sz w:val="20"/>
              </w:rPr>
              <w:t>Wave</w:t>
            </w:r>
          </w:p>
        </w:tc>
        <w:tc>
          <w:tcPr>
            <w:tcW w:type="dxa" w:w="1881"/>
            <w:shd w:fill="0C548A" w:val="clear"/>
          </w:tcPr>
          <w:p>
            <w:r>
              <w:rPr>
                <w:b/>
                <w:color w:val="FFFFFF"/>
                <w:sz w:val="20"/>
              </w:rPr>
              <w:t>Scope</w:t>
            </w:r>
          </w:p>
        </w:tc>
        <w:tc>
          <w:tcPr>
            <w:tcW w:type="dxa" w:w="1881"/>
            <w:shd w:fill="0C548A" w:val="clear"/>
          </w:tcPr>
          <w:p>
            <w:r>
              <w:rPr>
                <w:b/>
                <w:color w:val="FFFFFF"/>
                <w:sz w:val="20"/>
              </w:rPr>
              <w:t>Complexity Mix</w:t>
            </w:r>
          </w:p>
        </w:tc>
        <w:tc>
          <w:tcPr>
            <w:tcW w:type="dxa" w:w="1881"/>
            <w:shd w:fill="0C548A" w:val="clear"/>
          </w:tcPr>
          <w:p>
            <w:r>
              <w:rPr>
                <w:b/>
                <w:color w:val="FFFFFF"/>
                <w:sz w:val="20"/>
              </w:rPr>
              <w:t>Duration</w:t>
            </w:r>
          </w:p>
        </w:tc>
        <w:tc>
          <w:tcPr>
            <w:tcW w:type="dxa" w:w="1881"/>
            <w:shd w:fill="0C548A" w:val="clear"/>
          </w:tcPr>
          <w:p>
            <w:r>
              <w:rPr>
                <w:b/>
                <w:color w:val="FFFFFF"/>
                <w:sz w:val="20"/>
              </w:rPr>
              <w:t>Team Size</w:t>
            </w:r>
          </w:p>
        </w:tc>
      </w:tr>
      <w:tr>
        <w:tc>
          <w:tcPr>
            <w:tcW w:type="dxa" w:w="1881"/>
          </w:tcPr>
          <w:p>
            <w:r>
              <w:rPr>
                <w:sz w:val="20"/>
              </w:rPr>
              <w:t>Wave 1 (Pilot)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10-15 Low mappings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100% Low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2 weeks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2 devs</w:t>
            </w:r>
          </w:p>
        </w:tc>
      </w:tr>
      <w:tr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Wave 2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30 Low + 10 Medium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75% L / 25% M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3 weeks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3 devs</w:t>
            </w:r>
          </w:p>
        </w:tc>
      </w:tr>
      <w:tr>
        <w:tc>
          <w:tcPr>
            <w:tcW w:type="dxa" w:w="1881"/>
          </w:tcPr>
          <w:p>
            <w:r>
              <w:rPr>
                <w:sz w:val="20"/>
              </w:rPr>
              <w:t>Wave 3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20 Medium + 10 High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50% M / 50% H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4 weeks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4 devs</w:t>
            </w:r>
          </w:p>
        </w:tc>
      </w:tr>
      <w:tr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Wave 4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15 High + 5 Very High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75% H / 25% VH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5 weeks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5 devs</w:t>
            </w:r>
          </w:p>
        </w:tc>
      </w:tr>
      <w:tr>
        <w:tc>
          <w:tcPr>
            <w:tcW w:type="dxa" w:w="1881"/>
          </w:tcPr>
          <w:p>
            <w:r>
              <w:rPr>
                <w:sz w:val="20"/>
              </w:rPr>
              <w:t>Wave 5 (Final)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Remaining + cleanup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Mixed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3 weeks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3 devs</w:t>
            </w:r>
          </w:p>
        </w:tc>
      </w:tr>
    </w:tbl>
    <w:p/>
    <w:p>
      <w:r>
        <w:br w:type="page"/>
      </w:r>
    </w:p>
    <w:p>
      <w:pPr>
        <w:pStyle w:val="Heading1"/>
      </w:pPr>
      <w:r>
        <w:t>4. Migration Accelerator Tool</w:t>
      </w:r>
    </w:p>
    <w:p>
      <w:r>
        <w:t>The Informatica Migration Accelerator automates conversion of PowerCenter objects to IICS CDI assets. It handles source/target definitions, expressions, lookups, joiners, and standard transformations.</w:t>
      </w:r>
    </w:p>
    <w:p>
      <w:pPr>
        <w:pStyle w:val="Heading2"/>
      </w:pPr>
      <w:r>
        <w:t>4.1 Automated vs Manual Conversion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Feature</w:t>
            </w:r>
          </w:p>
        </w:tc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Automated</w:t>
            </w:r>
          </w:p>
        </w:tc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Manual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Simple expressions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Yes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N/A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Lookup transformations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Yes (static)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Dynamic lookups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Source Qualifier SQL override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Partial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Complex overrides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Session properties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Most settings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Custom Java/C code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Workflow scheduling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No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Recreate in IICS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Parameter files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Converted to in-cloud params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Complex tokenization</w:t>
            </w:r>
          </w:p>
        </w:tc>
      </w:tr>
    </w:tbl>
    <w:p/>
    <w:p>
      <w:pPr>
        <w:shd w:fill="F3E5F5" w:val="clear"/>
        <w:pBdr>
          <w:top w:val="single" w:sz="4" w:space="4" w:color="9C27B0"/>
          <w:left w:val="single" w:sz="12" w:space="4" w:color="9C27B0"/>
          <w:right w:val="single" w:sz="4" w:space="4" w:color="9C27B0"/>
        </w:pBdr>
        <w:spacing w:after="0"/>
        <w:ind w:left="432" w:right="432"/>
      </w:pPr>
      <w:r>
        <w:rPr>
          <w:b/>
          <w:color w:val="9C27B0"/>
          <w:sz w:val="20"/>
        </w:rPr>
        <w:t xml:space="preserve">  AI/AGENTIC</w:t>
      </w:r>
    </w:p>
    <w:p>
      <w:pPr>
        <w:shd w:fill="F3E5F5" w:val="clear"/>
        <w:pBdr>
          <w:bottom w:val="single" w:sz="4" w:space="4" w:color="9C27B0"/>
          <w:left w:val="single" w:sz="12" w:space="4" w:color="9C27B0"/>
          <w:right w:val="single" w:sz="4" w:space="4" w:color="9C27B0"/>
        </w:pBdr>
        <w:spacing w:before="0"/>
        <w:ind w:left="432" w:right="432"/>
      </w:pPr>
      <w:r>
        <w:rPr>
          <w:color w:val="4B5563"/>
          <w:sz w:val="20"/>
        </w:rPr>
        <w:t xml:space="preserve">  CLAIRE AI in IICS can suggest mapping optimizations post-conversion, including pushdown candidates and expression simplification.</w:t>
      </w:r>
    </w:p>
    <w:p/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Migration Accelerator CLI Example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infamigrate export \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--repository PC_PROD_REPO \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--domain INFA_DOM \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--folder Sales_ETL \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--output /export/sales_etl.xml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infamigrate convert \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--input /export/sales_etl.xml \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--target-org my-iics-org \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--output /converted/sales_etl_iics.zip</w:t>
      </w:r>
    </w:p>
    <w:p/>
    <w:p>
      <w:r>
        <w:br w:type="page"/>
      </w:r>
    </w:p>
    <w:p>
      <w:pPr>
        <w:pStyle w:val="Heading1"/>
      </w:pPr>
      <w:r>
        <w:t>5. Parallel Run &amp; Cutover Strategy</w:t>
      </w:r>
    </w:p>
    <w:p>
      <w:r>
        <w:t>Parallel runs execute both PC and IICS pipelines simultaneously to validate data equivalence before cutover.</w:t>
      </w:r>
    </w:p>
    <w:p>
      <w:pPr>
        <w:pStyle w:val="Heading2"/>
      </w:pPr>
      <w:r>
        <w:t>5.1 Parallel Run Steps</w:t>
      </w:r>
    </w:p>
    <w:p>
      <w:pPr>
        <w:pStyle w:val="ListNumber"/>
      </w:pPr>
      <w:r>
        <w:t>Run PC workflow on scheduled cycle (production data)</w:t>
      </w:r>
    </w:p>
    <w:p>
      <w:pPr>
        <w:pStyle w:val="ListNumber"/>
      </w:pPr>
      <w:r>
        <w:t>Run IICS mapping task on same data window</w:t>
      </w:r>
    </w:p>
    <w:p>
      <w:pPr>
        <w:pStyle w:val="ListNumber"/>
      </w:pPr>
      <w:r>
        <w:t>Compare row counts, checksums (MD5/SHA256), and key business metrics</w:t>
      </w:r>
    </w:p>
    <w:p>
      <w:pPr>
        <w:pStyle w:val="ListNumber"/>
      </w:pPr>
      <w:r>
        <w:t>Document variances and investigate any delta &gt; 0.1%</w:t>
      </w:r>
    </w:p>
    <w:p>
      <w:pPr>
        <w:pStyle w:val="ListNumber"/>
      </w:pPr>
      <w:r>
        <w:t>Repeat for minimum 3 consecutive cycles with zero variance</w:t>
      </w:r>
    </w:p>
    <w:p>
      <w:pPr>
        <w:pStyle w:val="ListNumber"/>
      </w:pPr>
      <w:r>
        <w:t>Obtain sign-off from data steward and business owner</w:t>
      </w:r>
    </w:p>
    <w:p>
      <w:pPr>
        <w:shd w:fill="FFEBEE" w:val="clear"/>
        <w:pBdr>
          <w:top w:val="single" w:sz="4" w:space="4" w:color="F44336"/>
          <w:left w:val="single" w:sz="12" w:space="4" w:color="F44336"/>
          <w:right w:val="single" w:sz="4" w:space="4" w:color="F44336"/>
        </w:pBdr>
        <w:spacing w:after="0"/>
        <w:ind w:left="432" w:right="432"/>
      </w:pPr>
      <w:r>
        <w:rPr>
          <w:b/>
          <w:color w:val="F44336"/>
          <w:sz w:val="20"/>
        </w:rPr>
        <w:t xml:space="preserve">  CRITICAL</w:t>
      </w:r>
    </w:p>
    <w:p>
      <w:pPr>
        <w:shd w:fill="FFEBEE" w:val="clear"/>
        <w:pBdr>
          <w:bottom w:val="single" w:sz="4" w:space="4" w:color="F44336"/>
          <w:left w:val="single" w:sz="12" w:space="4" w:color="F44336"/>
          <w:right w:val="single" w:sz="4" w:space="4" w:color="F44336"/>
        </w:pBdr>
        <w:spacing w:before="0"/>
        <w:ind w:left="432" w:right="432"/>
      </w:pPr>
      <w:r>
        <w:rPr>
          <w:color w:val="4B5563"/>
          <w:sz w:val="20"/>
        </w:rPr>
        <w:t xml:space="preserve">  Never cut over production without completing at least 3 clean parallel runs. Any data variance must be root-caused and resolved before proceeding.</w:t>
      </w:r>
    </w:p>
    <w:p/>
    <w:p>
      <w:pPr>
        <w:pStyle w:val="Heading2"/>
      </w:pPr>
      <w:r>
        <w:t>5.2 Cutover Checklist</w:t>
      </w:r>
    </w:p>
    <w:p>
      <w:pPr>
        <w:pStyle w:val="ListBullet"/>
      </w:pPr>
      <w:r>
        <w:t>All parallel runs passed with zero data variance</w:t>
      </w:r>
    </w:p>
    <w:p>
      <w:pPr>
        <w:pStyle w:val="ListBullet"/>
      </w:pPr>
      <w:r>
        <w:t>IICS schedules configured and tested (dry run)</w:t>
      </w:r>
    </w:p>
    <w:p>
      <w:pPr>
        <w:pStyle w:val="ListBullet"/>
      </w:pPr>
      <w:r>
        <w:t>Alerting and monitoring configured (email, SNMP, or REST webhooks)</w:t>
      </w:r>
    </w:p>
    <w:p>
      <w:pPr>
        <w:pStyle w:val="ListBullet"/>
      </w:pPr>
      <w:r>
        <w:t>Rollback plan documented and tested</w:t>
      </w:r>
    </w:p>
    <w:p>
      <w:pPr>
        <w:pStyle w:val="ListBullet"/>
      </w:pPr>
      <w:r>
        <w:t>PC workflows disabled (not deleted) for rollback safety</w:t>
      </w:r>
    </w:p>
    <w:p>
      <w:pPr>
        <w:pStyle w:val="ListBullet"/>
      </w:pPr>
      <w:r>
        <w:t>Communication sent to downstream consumers</w:t>
      </w:r>
    </w:p>
    <w:p>
      <w:r>
        <w:br w:type="page"/>
      </w:r>
    </w:p>
    <w:p>
      <w:pPr>
        <w:pStyle w:val="Heading1"/>
      </w:pPr>
      <w:r>
        <w:t>6. CLAIRE AI Acceleration</w:t>
      </w:r>
    </w:p>
    <w:p>
      <w:r>
        <w:t>CLAIRE (Cloud-scale AI Real-time Engine) provides AI-driven recommendations throughout the migration lifecycle.</w:t>
      </w:r>
    </w:p>
    <w:p>
      <w:pPr>
        <w:pStyle w:val="ListBullet"/>
      </w:pPr>
      <w:r>
        <w:t>Mapping Recommendations: Suggests transformations based on source/target schema</w:t>
      </w:r>
    </w:p>
    <w:p>
      <w:pPr>
        <w:pStyle w:val="ListBullet"/>
      </w:pPr>
      <w:r>
        <w:t>Performance Tuning: Identifies pushdown optimization candidates</w:t>
      </w:r>
    </w:p>
    <w:p>
      <w:pPr>
        <w:pStyle w:val="ListBullet"/>
      </w:pPr>
      <w:r>
        <w:t>Anomaly Detection: Flags data quality issues in migrated pipelines</w:t>
      </w:r>
    </w:p>
    <w:p>
      <w:pPr>
        <w:pStyle w:val="ListBullet"/>
      </w:pPr>
      <w:r>
        <w:t>Auto-Documentation: Generates lineage and impact analysis</w:t>
      </w:r>
    </w:p>
    <w:p>
      <w:pPr>
        <w:shd w:fill="F3E5F5" w:val="clear"/>
        <w:pBdr>
          <w:top w:val="single" w:sz="4" w:space="4" w:color="9C27B0"/>
          <w:left w:val="single" w:sz="12" w:space="4" w:color="9C27B0"/>
          <w:right w:val="single" w:sz="4" w:space="4" w:color="9C27B0"/>
        </w:pBdr>
        <w:spacing w:after="0"/>
        <w:ind w:left="432" w:right="432"/>
      </w:pPr>
      <w:r>
        <w:rPr>
          <w:b/>
          <w:color w:val="9C27B0"/>
          <w:sz w:val="20"/>
        </w:rPr>
        <w:t xml:space="preserve">  AI/AGENTIC</w:t>
      </w:r>
    </w:p>
    <w:p>
      <w:pPr>
        <w:shd w:fill="F3E5F5" w:val="clear"/>
        <w:pBdr>
          <w:bottom w:val="single" w:sz="4" w:space="4" w:color="9C27B0"/>
          <w:left w:val="single" w:sz="12" w:space="4" w:color="9C27B0"/>
          <w:right w:val="single" w:sz="4" w:space="4" w:color="9C27B0"/>
        </w:pBdr>
        <w:spacing w:before="0"/>
        <w:ind w:left="432" w:right="432"/>
      </w:pPr>
      <w:r>
        <w:rPr>
          <w:color w:val="4B5563"/>
          <w:sz w:val="20"/>
        </w:rPr>
        <w:t xml:space="preserve">  Enable CLAIRE recommendations in Org Admin &gt; AI/ML Settings. CLAIRE learns from your organization's patterns over time.</w:t>
      </w:r>
    </w:p>
    <w:p/>
    <w:p>
      <w:pPr>
        <w:pStyle w:val="Heading1"/>
      </w:pPr>
      <w:r>
        <w:t>7. Risk Management &amp; Quality Gates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Risk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Impact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Probability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Mitigation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Unsupported transformations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High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Medium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Identify in Assess phase; plan manual rewrite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Data variance post-migration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Critical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Low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Parallel runs with checksum validation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Performance regression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High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Medium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Baseline PC metrics; tune IICS pushdown/partitioning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Connection failures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Medium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Low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Test all connections before Convert phase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Schedule conflicts during cutover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Medium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Medium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Cutover during maintenance window; disable PC first</w:t>
            </w:r>
          </w:p>
        </w:tc>
      </w:tr>
    </w:tbl>
    <w:p/>
    <w:p>
      <w:pPr>
        <w:pStyle w:val="Heading1"/>
      </w:pPr>
      <w:r>
        <w:t>8. Timeline Estimates</w:t>
      </w:r>
    </w:p>
    <w:p>
      <w:r>
        <w:t>Typical migration timeline for a mid-size PowerCenter estate (200-500 mappings):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Phase</w:t>
            </w:r>
          </w:p>
        </w:tc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Duration</w:t>
            </w:r>
          </w:p>
        </w:tc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Cumulative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Assess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2-3 weeks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Week 3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Prepare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1-2 weeks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Week 5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Wave 1 (Pilot)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2-3 weeks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Week 8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Waves 2-4 (Bulk)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8-12 weeks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Week 20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Wave 5 (Cleanup)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2-3 weeks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Week 23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Parallel Runs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3-4 weeks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Week 27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Cutover + Optimize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2-3 weeks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Week 30</w:t>
            </w:r>
          </w:p>
        </w:tc>
      </w:tr>
    </w:tbl>
    <w:p/>
    <w:p>
      <w:pPr>
        <w:shd w:fill="E3F2FD" w:val="clear"/>
        <w:pBdr>
          <w:top w:val="single" w:sz="4" w:space="4" w:color="2196F3"/>
          <w:left w:val="single" w:sz="12" w:space="4" w:color="2196F3"/>
          <w:right w:val="single" w:sz="4" w:space="4" w:color="2196F3"/>
        </w:pBdr>
        <w:spacing w:after="0"/>
        <w:ind w:left="432" w:right="432"/>
      </w:pPr>
      <w:r>
        <w:rPr>
          <w:b/>
          <w:color w:val="2196F3"/>
          <w:sz w:val="20"/>
        </w:rPr>
        <w:t xml:space="preserve">  INFO</w:t>
      </w:r>
    </w:p>
    <w:p>
      <w:pPr>
        <w:shd w:fill="E3F2FD" w:val="clear"/>
        <w:pBdr>
          <w:bottom w:val="single" w:sz="4" w:space="4" w:color="2196F3"/>
          <w:left w:val="single" w:sz="12" w:space="4" w:color="2196F3"/>
          <w:right w:val="single" w:sz="4" w:space="4" w:color="2196F3"/>
        </w:pBdr>
        <w:spacing w:before="0"/>
        <w:ind w:left="432" w:right="432"/>
      </w:pPr>
      <w:r>
        <w:rPr>
          <w:color w:val="4B5563"/>
          <w:sz w:val="20"/>
        </w:rPr>
        <w:t xml:space="preserve">  Total elapsed time for 200-500 mappings: approximately 6-8 months. Larger estates (1000+) may require 12-18 months with multiple parallel tracks.</w:t>
      </w:r>
    </w:p>
    <w:p/>
    <w:p>
      <w:r>
        <w:br w:type="page"/>
      </w:r>
    </w:p>
    <w:p>
      <w:pPr>
        <w:pStyle w:val="Heading1"/>
      </w:pPr>
      <w:r>
        <w:t>Related Assets</w:t>
      </w:r>
    </w:p>
    <w:p>
      <w:r>
        <w:t>The following documents in the Mastech Digital Informatica Asset Library are related to this guide: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Document</w:t>
            </w:r>
          </w:p>
        </w:tc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Category / Path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INFA Object Conversion Playbook (#37)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Migration_Library/PC_to_IICS/</w:t>
            </w:r>
          </w:p>
        </w:tc>
      </w:tr>
      <w:tr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INFA CDI Mapping Development Guide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Development_Library/CDI/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INFA Secure Agent Installation Guide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Platform_Library/Runtime/</w:t>
            </w:r>
          </w:p>
        </w:tc>
      </w:tr>
      <w:tr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INFA Connection Configuration Playbook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Platform_Library/Connections/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INFA Monitoring &amp; Alerting Runbook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Operations_Library/Monitoring/</w:t>
            </w:r>
          </w:p>
        </w:tc>
      </w:tr>
    </w:tbl>
    <w:p/>
    <w:sectPr w:rsidR="00FC693F" w:rsidRPr="0006063C" w:rsidSect="00034616"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6"/>
      </w:rPr>
      <w:t>© 2026 Mastech Digital | Informatica Platform Assets | Confidential</w:t>
    </w:r>
    <w:r>
      <w:rPr>
        <w:color w:val="999999"/>
        <w:sz w:val="16"/>
      </w:rPr>
      <w:t xml:space="preserve"> | Page </w:t>
    </w:r>
    <w:r>
      <w:fldChar w:fldCharType="begin"/>
    </w:r>
    <w:r>
      <w:instrText xml:space="preserve"> PAGE </w:instrText>
    </w:r>
    <w:r>
      <w:fldChar w:fldCharType="end"/>
    </w:r>
    <w:r>
      <w:rPr>
        <w:color w:val="999999"/>
        <w:sz w:val="16"/>
      </w:rPr>
      <w:t xml:space="preserve"> of </w:t>
    </w:r>
    <w:r>
      <w:fldChar w:fldCharType="begin"/>
    </w:r>
    <w:r>
      <w:instrText xml:space="preserve"> NUMPAGES </w:instrText>
    </w:r>
    <w:r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C548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C548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C548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