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/>
    </w:p>
    <w:p/>
    <w:p>
      <w:pPr>
        <w:pStyle w:val="Title"/>
      </w:pPr>
      <w:r>
        <w:rPr>
          <w:color w:val="0C548A"/>
          <w:sz w:val="56"/>
        </w:rPr>
        <w:t>INFA Data Reconciliation Framework</w:t>
      </w:r>
    </w:p>
    <w:p>
      <w:r>
        <w:rPr>
          <w:b/>
          <w:color w:val="FF6D00"/>
          <w:sz w:val="28"/>
        </w:rPr>
        <w:t>Mastech Digital — Informatica Platform Assets</w:t>
      </w:r>
    </w:p>
    <w:p>
      <w:r>
        <w:rPr>
          <w:i/>
          <w:color w:val="4B5563"/>
          <w:sz w:val="22"/>
        </w:rPr>
        <w:t>End-to-end data reconciliation framework for validating PowerCenter to IICS migration output correctness.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INFA Data Reconciliation Framework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 - Testing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#43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Mastech Digital — Informatica Practice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Pending – Internal Review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Draft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Internal – Mastech Digital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Informatica IDMC (IICS) – Early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August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Data reconciliation is the definitive proof that a migration has succeeded. This document provides a comprehensive framework for comparing PowerCenter and IICS outputs at multiple levels of granularity: record count, field-level, business logic, and referential integrity. It includes practical tools, scripts, and templates that migration teams can deploy immediately.</w:t>
        <w:br/>
        <w:br/>
        <w:t>The framework covers SQL-based comparison queries, Python reconciliation scripts, statistical sampling strategies for large datasets, and hash-based row comparison techniques using MD5 and SHA-256. Exception reporting templates enable structured capture and root cause analysis of all mismatches.</w:t>
        <w:br/>
        <w:br/>
        <w:t>Sign-off criteria are clearly defined: zero critical mismatches and less than 0.01% acceptable variance for non-critical fields. The framework has been validated across multiple BFSI and HCLS migration engagements.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Reconciliation Levels</w:t>
      </w:r>
    </w:p>
    <w:p>
      <w:pPr>
        <w:spacing w:after="60"/>
      </w:pPr>
      <w:r>
        <w:rPr>
          <w:color w:val="0C548A"/>
          <w:sz w:val="22"/>
        </w:rPr>
        <w:t>2.0  Reconciliation Tools &amp; Approaches</w:t>
      </w:r>
    </w:p>
    <w:p>
      <w:pPr>
        <w:spacing w:after="60"/>
      </w:pPr>
      <w:r>
        <w:rPr>
          <w:color w:val="0C548A"/>
          <w:sz w:val="22"/>
        </w:rPr>
        <w:t>3.0  Statistical Reconciliation for Large Datasets</w:t>
      </w:r>
    </w:p>
    <w:p>
      <w:pPr>
        <w:spacing w:after="60"/>
      </w:pPr>
      <w:r>
        <w:rPr>
          <w:color w:val="0C548A"/>
          <w:sz w:val="22"/>
        </w:rPr>
        <w:t>4.0  Hash-Based Row Comparison</w:t>
      </w:r>
    </w:p>
    <w:p>
      <w:pPr>
        <w:spacing w:after="60"/>
      </w:pPr>
      <w:r>
        <w:rPr>
          <w:color w:val="0C548A"/>
          <w:sz w:val="22"/>
        </w:rPr>
        <w:t>5.0  Exception Reporting</w:t>
      </w:r>
    </w:p>
    <w:p>
      <w:pPr>
        <w:spacing w:after="60"/>
      </w:pPr>
      <w:r>
        <w:rPr>
          <w:color w:val="0C548A"/>
          <w:sz w:val="22"/>
        </w:rPr>
        <w:t>6.0  Root Cause Analysis Patterns</w:t>
      </w:r>
    </w:p>
    <w:p>
      <w:pPr>
        <w:spacing w:after="60"/>
      </w:pPr>
      <w:r>
        <w:rPr>
          <w:color w:val="0C548A"/>
          <w:sz w:val="22"/>
        </w:rPr>
        <w:t>7.0  Reconciliation Automation</w:t>
      </w:r>
    </w:p>
    <w:p>
      <w:pPr>
        <w:spacing w:after="60"/>
      </w:pPr>
      <w:r>
        <w:rPr>
          <w:color w:val="0C548A"/>
          <w:sz w:val="22"/>
        </w:rPr>
        <w:t>8.0  Sign-Off Criteria</w:t>
      </w:r>
    </w:p>
    <w:p>
      <w:pPr>
        <w:spacing w:after="60"/>
      </w:pPr>
      <w:r>
        <w:rPr>
          <w:color w:val="0C548A"/>
          <w:sz w:val="22"/>
        </w:rPr>
        <w:t>9.0  Python Reconciliation Script</w:t>
      </w:r>
    </w:p>
    <w:p>
      <w:pPr>
        <w:spacing w:after="60"/>
      </w:pPr>
      <w:r>
        <w:rPr>
          <w:color w:val="0C548A"/>
          <w:sz w:val="22"/>
        </w:rPr>
        <w:t>10.0  SQL Comparison Query Templates</w:t>
      </w:r>
    </w:p>
    <w:p>
      <w:pPr>
        <w:spacing w:after="60"/>
      </w:pPr>
      <w:r>
        <w:rPr>
          <w:color w:val="0C548A"/>
          <w:sz w:val="22"/>
        </w:rPr>
        <w:t>11.0  Reconciliation Report Template</w:t>
      </w:r>
    </w:p>
    <w:p>
      <w:r>
        <w:br w:type="page"/>
      </w:r>
    </w:p>
    <w:p>
      <w:pPr>
        <w:pStyle w:val="Heading1"/>
      </w:pPr>
      <w:r>
        <w:t>Prerequisites &amp; Applicability</w:t>
      </w:r>
    </w:p>
    <w:p>
      <w:pPr>
        <w:pStyle w:val="ListBullet"/>
      </w:pPr>
      <w:r>
        <w:t>Both PC and IICS target schemas accessible from a single query engine</w:t>
      </w:r>
    </w:p>
    <w:p>
      <w:pPr>
        <w:pStyle w:val="ListBullet"/>
      </w:pPr>
      <w:r>
        <w:t>Python 3.8+ with pandas, hashlib, pyodbc installed</w:t>
      </w:r>
    </w:p>
    <w:p>
      <w:pPr>
        <w:pStyle w:val="ListBullet"/>
      </w:pPr>
      <w:r>
        <w:t>Sufficient database permissions for SELECT on all target tables</w:t>
      </w:r>
    </w:p>
    <w:p>
      <w:pPr>
        <w:pStyle w:val="ListBullet"/>
      </w:pPr>
      <w:r>
        <w:t>Primary key / unique key identified for every target table</w:t>
      </w:r>
    </w:p>
    <w:p>
      <w:pPr>
        <w:pStyle w:val="ListBullet"/>
      </w:pPr>
      <w:r>
        <w:t>Reconciliation results storage (database table or file system)</w:t>
      </w:r>
    </w:p>
    <w:p/>
    <w:p>
      <w:pPr>
        <w:pStyle w:val="Heading1"/>
      </w:pPr>
      <w:r>
        <w:t>1. Reconciliation Levels</w:t>
      </w:r>
    </w:p>
    <w:p>
      <w:r>
        <w:t>Reconciliation progresses from coarse to fine-grained comparison. Each level catches different types of migration defects.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Level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What It Validates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Effort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Defect Types Caught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L1: Record Count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Same number of rows in PC and IICS targets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Missing/extra rows, filter errors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L2: Aggregate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SUM, AVG, MIN, MAX on numeric columns match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Calculation errors, truncation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L3: Field-Level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Every column in every row matches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Expression errors, type conversion, encoding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L4: Business Logic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Derived values, calculated fields correct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Logic errors, formula differences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L5: Referential Integrity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Foreign key relationships intact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Join errors, orphan records</w:t>
            </w:r>
          </w:p>
        </w:tc>
      </w:tr>
    </w:tbl>
    <w:p/>
    <w:p>
      <w:pPr>
        <w:pStyle w:val="Heading2"/>
      </w:pPr>
      <w:r>
        <w:t>1.1 Progressive Reconciliation Approach</w:t>
      </w:r>
    </w:p>
    <w:p>
      <w:r>
        <w:t>Start with L1 (cheapest) and progress to deeper levels only after the previous level passes.</w:t>
      </w:r>
    </w:p>
    <w:p>
      <w:pPr>
        <w:pStyle w:val="ListNumber"/>
      </w:pPr>
      <w:r>
        <w:t>L1: Record Count - run for all tables first (10 minutes for entire schema)</w:t>
      </w:r>
    </w:p>
    <w:p>
      <w:pPr>
        <w:pStyle w:val="ListNumber"/>
      </w:pPr>
      <w:r>
        <w:t>L2: Aggregate - run for all numeric columns (30 minutes)</w:t>
      </w:r>
    </w:p>
    <w:p>
      <w:pPr>
        <w:pStyle w:val="ListNumber"/>
      </w:pPr>
      <w:r>
        <w:t>L3: Field-Level - run for tables that passed L1+L2 (hours to days depending on volume)</w:t>
      </w:r>
    </w:p>
    <w:p>
      <w:pPr>
        <w:pStyle w:val="ListNumber"/>
      </w:pPr>
      <w:r>
        <w:t>L4: Business Logic - validate calculated/derived columns specifically</w:t>
      </w:r>
    </w:p>
    <w:p>
      <w:pPr>
        <w:pStyle w:val="ListNumber"/>
      </w:pPr>
      <w:r>
        <w:t>L5: Referential Integrity - check all FK relationships after L3 passes</w:t>
      </w:r>
    </w:p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Do NOT skip L1 and L2. If record counts or aggregates do not match, field-level comparison will produce thousands of false positive mismatches and waste QA effort.</w:t>
      </w:r>
    </w:p>
    <w:p/>
    <w:p>
      <w:r>
        <w:br w:type="page"/>
      </w:r>
    </w:p>
    <w:p>
      <w:pPr>
        <w:pStyle w:val="Heading1"/>
      </w:pPr>
      <w:r>
        <w:t>2. Reconciliation Tools &amp; Approaches</w:t>
      </w:r>
    </w:p>
    <w:p>
      <w:r>
        <w:t>Multiple tools can be used for reconciliation depending on team skills and infrastructure.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Tool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Strengths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Limitations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Best For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SQL Queries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Manual/scripted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Universal, no additional tools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Verbose, hard to scale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Quick checks, small datasets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Python + pandas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Scripted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Flexible, handles large data, reporting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Requires Python skills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Automated reconciliation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Great Expectations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Framework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Declarative, rich reports, versioned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Learning curve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CI/CD integrated validation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Informatica Data Validation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Commercial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Native PC-IICS comparison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License cost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Enterprise with budget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Apache Spark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Distributed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Handles billions of rows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Infrastructure overhead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Very large datasets</w:t>
            </w:r>
          </w:p>
        </w:tc>
      </w:tr>
    </w:tbl>
    <w:p/>
    <w:p>
      <w:pPr>
        <w:pStyle w:val="Heading2"/>
      </w:pPr>
      <w:r>
        <w:t>2.1 Tool Selection Criteria</w:t>
      </w:r>
    </w:p>
    <w:p>
      <w:pPr>
        <w:pStyle w:val="ListBullet"/>
      </w:pPr>
      <w:r>
        <w:t>Dataset size: &lt;1M rows = SQL/Python; 1M-100M = Python/pandas; &gt;100M = Spark</w:t>
      </w:r>
    </w:p>
    <w:p>
      <w:pPr>
        <w:pStyle w:val="ListBullet"/>
      </w:pPr>
      <w:r>
        <w:t>Team skills: SQL-only team = SQL queries; Python team = pandas scripts</w:t>
      </w:r>
    </w:p>
    <w:p>
      <w:pPr>
        <w:pStyle w:val="ListBullet"/>
      </w:pPr>
      <w:r>
        <w:t>Automation needs: One-time = manual SQL; repeating = Python/GE framework</w:t>
      </w:r>
    </w:p>
    <w:p>
      <w:pPr>
        <w:pStyle w:val="ListBullet"/>
      </w:pPr>
      <w:r>
        <w:t>Reporting needs: Basic = SQL output; Rich = Great Expectations HTML reports</w:t>
      </w:r>
    </w:p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For most IICS migration projects (datasets under 50M rows), Python with pandas provides the best balance of flexibility, automation, and reporting capabilities.</w:t>
      </w:r>
    </w:p>
    <w:p/>
    <w:p>
      <w:r>
        <w:br w:type="page"/>
      </w:r>
    </w:p>
    <w:p>
      <w:pPr>
        <w:pStyle w:val="Heading1"/>
      </w:pPr>
      <w:r>
        <w:t>3. Statistical Reconciliation for Large Datasets</w:t>
      </w:r>
    </w:p>
    <w:p>
      <w:r>
        <w:t>For very large datasets (100M+ rows), full field-level comparison may be impractical. Statistical sampling provides high confidence with manageable effort.</w:t>
      </w:r>
    </w:p>
    <w:p>
      <w:pPr>
        <w:pStyle w:val="Heading2"/>
      </w:pPr>
      <w:r>
        <w:t>3.1 Sampling Strategy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Population Size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Sample Size (95% CI, 1% margin)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Sample Size (99% CI, 0.5% margin)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Method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10,000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4,900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8,763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Simple random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100,000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8,763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38,416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Stratified random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1,000,000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9,513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66,358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Stratified random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10,000,000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9,595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96,040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Stratified + systematic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100,000,000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9,603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99,644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Stratified + systematic</w:t>
            </w:r>
          </w:p>
        </w:tc>
      </w:tr>
    </w:tbl>
    <w:p/>
    <w:p>
      <w:pPr>
        <w:pStyle w:val="Heading2"/>
      </w:pPr>
      <w:r>
        <w:t>3.2 Confidence Calculation</w:t>
      </w:r>
    </w:p>
    <w:p>
      <w:r>
        <w:t>Sample size formula for finite population: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math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sample_size(population, confidence_z=1.96, margin=0.01, p=0.5):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Calculate required sample size for finite population.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confidence_z: 1.96 for 95%, 2.576 for 99%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margin: acceptable margin of error (0.01 = 1%)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p: expected proportion (0.5 = maximum variability)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n0 = (confidence_z**2 * p * (1-p)) / margin**2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n = n0 / (1 + (n0 - 1) / population)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return math.ceil(n)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Examples: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print(sample_size(1_000_000, 1.96, 0.01))    # 9,513 for 95% CI, 1% margin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print(sample_size(1_000_000, 2.576, 0.005))   # 66,358 for 99% CI, 0.5% margin</w:t>
      </w:r>
    </w:p>
    <w:p/>
    <w:p>
      <w:pPr>
        <w:pStyle w:val="Heading2"/>
      </w:pPr>
      <w:r>
        <w:t>3.3 Stratified Sampling</w:t>
      </w:r>
    </w:p>
    <w:p>
      <w:r>
        <w:t>Stratified sampling ensures representation across key dimensions (date ranges, account types, regions) rather than purely random selection.</w:t>
      </w:r>
    </w:p>
    <w:p>
      <w:pPr>
        <w:pStyle w:val="ListBullet"/>
      </w:pPr>
      <w:r>
        <w:t>Define strata based on business-relevant dimensions</w:t>
      </w:r>
    </w:p>
    <w:p>
      <w:pPr>
        <w:pStyle w:val="ListBullet"/>
      </w:pPr>
      <w:r>
        <w:t>Allocate sample proportionally to stratum size</w:t>
      </w:r>
    </w:p>
    <w:p>
      <w:pPr>
        <w:pStyle w:val="ListBullet"/>
      </w:pPr>
      <w:r>
        <w:t>Ensure each stratum has minimum 30 observations for statistical validity</w:t>
      </w:r>
    </w:p>
    <w:p>
      <w:pPr>
        <w:pStyle w:val="ListBullet"/>
      </w:pPr>
      <w:r>
        <w:t>Over-sample high-risk strata (e.g., complex transformations, edge cases)</w:t>
      </w:r>
    </w:p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Random sampling alone may miss systematic errors that only affect specific data partitions. Always use stratified sampling for migration reconciliation.</w:t>
      </w:r>
    </w:p>
    <w:p/>
    <w:p>
      <w:r>
        <w:br w:type="page"/>
      </w:r>
    </w:p>
    <w:p>
      <w:pPr>
        <w:pStyle w:val="Heading1"/>
      </w:pPr>
      <w:r>
        <w:t>4. Hash-Based Row Comparison</w:t>
      </w:r>
    </w:p>
    <w:p>
      <w:r>
        <w:t>Hash-based comparison computes a cryptographic hash of each row and compares hashes rather than individual fields. This dramatically reduces comparison overhead for wide tables.</w:t>
      </w:r>
    </w:p>
    <w:p>
      <w:pPr>
        <w:pStyle w:val="Heading2"/>
      </w:pPr>
      <w:r>
        <w:t>4.1 MD5 Hash Approach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SQL Server: MD5 hash per row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customer_id,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HASHBYTES('MD5',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CONCAT(ISNULL(CAST(customer_name AS VARCHAR(MAX)), ''),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'|', ISNULL(CAST(email AS VARCHAR(MAX)), ''),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'|', ISNULL(CAST(phone AS VARCHAR(MAX)), ''),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'|', ISNULL(CONVERT(VARCHAR(30), created_date, 121), '')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) AS row_hash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customer_dim;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Oracle: MD5 hash per row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customer_id,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DBMS_CRYPTO.HASH(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UTL_RAW.CAST_TO_RAW(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NVL(customer_name, '') || '|' ||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NVL(email, '') || '|' ||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NVL(phone, '') || '|' ||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NVL(TO_CHAR(created_date, 'YYYY-MM-DD HH24:MI:SS'), '')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), 2  -- 2 = MD5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) AS row_hash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customer_dim;</w:t>
      </w:r>
    </w:p>
    <w:p/>
    <w:p>
      <w:pPr>
        <w:pStyle w:val="Heading2"/>
      </w:pPr>
      <w:r>
        <w:t>4.2 SHA-256 Hash Approach (Python)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hashlib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pandas as pd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compute_row_hash(row, columns):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"""Compute SHA-256 hash for a row across specified columns."""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values = '|'.join(str(row[c]) if pd.notna(row[c]) else '' for c in columns)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return hashlib.sha256(values.encode('utf-8')).hexdigest()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Load data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pc_df = pd.read_sql('SELECT * FROM dwh_pc.customer_dim', conn)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iics_df = pd.read_sql('SELECT * FROM dwh_iics.customer_dim', conn)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Compute hashes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cols = ['customer_name', 'email', 'phone', 'created_date']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pc_df['row_hash'] = pc_df.apply(lambda r: compute_row_hash(r, cols), axis=1)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iics_df['row_hash'] = iics_df.apply(lambda r: compute_row_hash(r, cols), axis=1)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Compare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merged = pc_df[['customer_id', 'row_hash']].merge(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iics_df[['customer_id', 'row_hash']],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on='customer_id', suffixes=('_pc', '_iics'), how='outer'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mismatches = merged[merged['row_hash_pc'] != merged['row_hash_iics']]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print(f'Mismatches: {len(mismatches)} out of {len(merged)} rows')</w:t>
      </w:r>
    </w:p>
    <w:p/>
    <w:p>
      <w:pPr>
        <w:pStyle w:val="Heading2"/>
      </w:pPr>
      <w:r>
        <w:t>4.3 Hash Comparison Considerations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Consideration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MD5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SHA-256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Recommendation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Speed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Faster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Slower (2-3x)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MD5 for non-security use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Collision Risk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Theoretically possible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Negligible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SHA-256 for critical data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NULL Handling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Must normalize NULLs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Must normalize NULLs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Replace NULL with empty string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Floating Point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Precision issues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Precision issues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Round to fixed decimal before hashing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Date Format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Format-dependent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Format-dependent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Standardize to ISO 8601</w:t>
            </w:r>
          </w:p>
        </w:tc>
      </w:tr>
    </w:tbl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Use MD5 for initial bulk comparison (faster) and SHA-256 for final validation of mismatched rows (more reliable). Always normalize NULLs and floating-point precision before hashing.</w:t>
      </w:r>
    </w:p>
    <w:p/>
    <w:p>
      <w:r>
        <w:br w:type="page"/>
      </w:r>
    </w:p>
    <w:p>
      <w:pPr>
        <w:pStyle w:val="Heading1"/>
      </w:pPr>
      <w:r>
        <w:t>5. Exception Reporting</w:t>
      </w:r>
    </w:p>
    <w:p>
      <w:r>
        <w:t>All mismatches must be captured in structured exception reports for root cause analysis and resolution tracking.</w:t>
      </w:r>
    </w:p>
    <w:p>
      <w:pPr>
        <w:pStyle w:val="Heading2"/>
      </w:pPr>
      <w:r>
        <w:t>5.1 Exception Categories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Severity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Missing in IICS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Row exists in PC target but not IICS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Filter logic difference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Extra in IICS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Row exists in IICS target but not PC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Missing filter or extra source data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Value Mismatch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Row exists in both but field values differ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Expression logic difference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Type Mismatch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Data type or format differs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Date format, numeric precision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NULL Mismatch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NULL in one, value in other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NULL handling logic difference</w:t>
            </w:r>
          </w:p>
        </w:tc>
      </w:tr>
    </w:tbl>
    <w:p/>
    <w:p>
      <w:pPr>
        <w:pStyle w:val="Heading2"/>
      </w:pPr>
      <w:r>
        <w:t>5.2 Exception Report Template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Exception ID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Auto-generated unique identifier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Table Name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Target table where mismatch found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Primary Key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Row identifier (e.g., customer_id=12345)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Exception Type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Missing/Extra/Value Mismatch/Type/NULL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Column Name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Specific column with mismatch (for Value/Type/NULL)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PC Value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Value from PowerCenter target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IICS Value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Value from IICS target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Root Cause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Identified root cause (initially blank)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Resolution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Fix applied (initially blank)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Status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Open / Investigating / Resolved / Accepted</w:t>
            </w:r>
          </w:p>
        </w:tc>
      </w:tr>
    </w:tbl>
    <w:p/>
    <w:p>
      <w:pPr>
        <w:pStyle w:val="Heading2"/>
      </w:pPr>
      <w:r>
        <w:t>5.3 Exception Reporting Script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pandas as pd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datetime import datetime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generate_exception_report(pc_df, iics_df, key_col, compare_cols, table_name):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"""Generate structured exception report comparing PC and IICS data."""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exceptions = []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merged = pc_df.merge(iics_df, on=key_col, how='outer',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     suffixes=('_pc', '_iics'), indicator=True)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# Missing in IICS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missing = merged[merged['_merge'] == 'left_only']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for _, row in missing.iterrows():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exceptions.append({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'table': table_name, 'key': row[key_col],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'type': 'Missing in IICS', 'column': '*',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'pc_value': 'EXISTS', 'iics_value': 'MISSING',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'severity': 'Critical'})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# Extra in IICS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extra = merged[merged['_merge'] == 'right_only']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for _, row in extra.iterrows():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exceptions.append({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'table': table_name, 'key': row[key_col],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'type': 'Extra in IICS', 'column': '*',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'pc_value': 'MISSING', 'iics_value': 'EXISTS',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'severity': 'Critical'})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# Value mismatches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both = merged[merged['_merge'] == 'both']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for col in compare_cols: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mask = both[f'{col}_pc'] != both[f'{col}_iics']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for _, row in both[mask].iterrows():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exceptions.append({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'table': table_name, 'key': row[key_col],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'type': 'Value Mismatch', 'column': col,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'pc_value': str(row[f'{col}_pc']),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'iics_value': str(row[f'{col}_iics']),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'severity': 'High'})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return pd.DataFrame(exceptions)</w:t>
      </w:r>
    </w:p>
    <w:p/>
    <w:p>
      <w:r>
        <w:br w:type="page"/>
      </w:r>
    </w:p>
    <w:p>
      <w:pPr>
        <w:pStyle w:val="Heading1"/>
      </w:pPr>
      <w:r>
        <w:t>6. Root Cause Analysis Patterns</w:t>
      </w:r>
    </w:p>
    <w:p>
      <w:r>
        <w:t>Most migration mismatches fall into a small set of well-known root cause categories. Recognizing these patterns accelerates resolution.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Root Cause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Symptom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Fix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Prevention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String Truncation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IICS value shorter than PC value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Match target column length to source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Pre-migration column length audit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Data Type Conversion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Numeric precision loss (e.g., 10.50 vs 10.5)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Explicit CAST with precision/scale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Standardize data types in mapping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Expression Difference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Calculated values differ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Port PC expression to IICS syntax exactly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Automated expression comparison tool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Date Format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Dates differ by timezone or format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Standardize to UTC, consistent format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Document date handling rules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NULL Handling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NULL vs empty string vs default value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Match PC NULL handling exactly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NULL handling test cases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Sort Order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Same data, different row ordering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Not a real mismatch; add ORDER BY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Ignore row order in comparison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Encoding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Special characters differ (UTF-8 vs Latin-1)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Standardize encoding to UTF-8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Connection encoding settings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Rounding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Floating point differences at last decimal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Round to business-required precision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ROUND() in both PC and IICS</w:t>
            </w:r>
          </w:p>
        </w:tc>
      </w:tr>
    </w:tbl>
    <w:p/>
    <w:p>
      <w:pPr>
        <w:shd w:fill="F3E5F5" w:val="clear"/>
        <w:pBdr>
          <w:top w:val="single" w:sz="4" w:space="4" w:color="9C27B0"/>
          <w:left w:val="single" w:sz="12" w:space="4" w:color="9C27B0"/>
          <w:right w:val="single" w:sz="4" w:space="4" w:color="9C27B0"/>
        </w:pBdr>
        <w:spacing w:after="0"/>
        <w:ind w:left="432" w:right="432"/>
      </w:pPr>
      <w:r>
        <w:rPr>
          <w:b/>
          <w:color w:val="9C27B0"/>
          <w:sz w:val="20"/>
        </w:rPr>
        <w:t xml:space="preserve">  AI/AGENTIC</w:t>
      </w:r>
    </w:p>
    <w:p>
      <w:pPr>
        <w:shd w:fill="F3E5F5" w:val="clear"/>
        <w:pBdr>
          <w:bottom w:val="single" w:sz="4" w:space="4" w:color="9C27B0"/>
          <w:left w:val="single" w:sz="12" w:space="4" w:color="9C27B0"/>
          <w:right w:val="single" w:sz="4" w:space="4" w:color="9C27B0"/>
        </w:pBdr>
        <w:spacing w:before="0"/>
        <w:ind w:left="432" w:right="432"/>
      </w:pPr>
      <w:r>
        <w:rPr>
          <w:color w:val="4B5563"/>
          <w:sz w:val="20"/>
        </w:rPr>
        <w:t xml:space="preserve">  AI-powered root cause analysis can automatically classify mismatches by pattern, reducing manual investigation time by 60%. Train a classifier on historical reconciliation defects.</w:t>
      </w:r>
    </w:p>
    <w:p/>
    <w:p>
      <w:pPr>
        <w:pStyle w:val="Heading2"/>
      </w:pPr>
      <w:r>
        <w:t>6.1 Root Cause Investigation Workflow</w:t>
      </w:r>
    </w:p>
    <w:p>
      <w:pPr>
        <w:pStyle w:val="ListNumber"/>
      </w:pPr>
      <w:r>
        <w:t>Export mismatched rows from exception report</w:t>
      </w:r>
    </w:p>
    <w:p>
      <w:pPr>
        <w:pStyle w:val="ListNumber"/>
      </w:pPr>
      <w:r>
        <w:t>Identify the specific column(s) with differences</w:t>
      </w:r>
    </w:p>
    <w:p>
      <w:pPr>
        <w:pStyle w:val="ListNumber"/>
      </w:pPr>
      <w:r>
        <w:t>Compare PC mapping expression vs IICS mapping expression for that column</w:t>
      </w:r>
    </w:p>
    <w:p>
      <w:pPr>
        <w:pStyle w:val="ListNumber"/>
      </w:pPr>
      <w:r>
        <w:t>Check data type definitions in source, mapping, and target</w:t>
      </w:r>
    </w:p>
    <w:p>
      <w:pPr>
        <w:pStyle w:val="ListNumber"/>
      </w:pPr>
      <w:r>
        <w:t>Verify NULL handling, default values, and trim/padding behavior</w:t>
      </w:r>
    </w:p>
    <w:p>
      <w:pPr>
        <w:pStyle w:val="ListNumber"/>
      </w:pPr>
      <w:r>
        <w:t>If unclear, run mapping in debug mode with same source row and compare step-by-step</w:t>
      </w:r>
    </w:p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80% of mismatches are caused by just 3 root causes: string truncation, date format differences, and NULL handling. Check these first.</w:t>
      </w:r>
    </w:p>
    <w:p/>
    <w:p>
      <w:r>
        <w:br w:type="page"/>
      </w:r>
    </w:p>
    <w:p>
      <w:pPr>
        <w:pStyle w:val="Heading1"/>
      </w:pPr>
      <w:r>
        <w:t>7. Reconciliation Automation</w:t>
      </w:r>
    </w:p>
    <w:p>
      <w:r>
        <w:t>Automated reconciliation runs on schedule, compares outputs, and alerts on mismatches.</w:t>
      </w:r>
    </w:p>
    <w:p>
      <w:pPr>
        <w:pStyle w:val="Heading2"/>
      </w:pPr>
      <w:r>
        <w:t>7.1 Automation Architecture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Component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Technology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Purpose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Scheduler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IICS Taskflow / cron / Airflow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Trigger reconciliation after ETL completion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Reconciliation Engine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Python script (pandas)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Compare PC and IICS targets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Results Storage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Database table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Store exception reports with timestamps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Alerting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Email / Slack / PagerDuty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Notify team of mismatches above threshold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Dashboard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Power BI / Grafana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Visualize reconciliation trends</w:t>
            </w:r>
          </w:p>
        </w:tc>
      </w:tr>
    </w:tbl>
    <w:p/>
    <w:p>
      <w:pPr>
        <w:pStyle w:val="Heading2"/>
      </w:pPr>
      <w:r>
        <w:t>7.2 Automated Reconciliation Pipeline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#!/usr/bin/env python3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"""Automated reconciliation pipeline - triggered post-ETL."""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pandas as pd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pyodbc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smtplib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email.mime.text import MIMEText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datetime import datetime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CONN_STR = 'DRIVER={ODBC Driver 18 for SQL Server};SERVER=...;'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TABLES = [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{'name': 'customer_dim', 'key': 'customer_id',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'cols': ['customer_name', 'email', 'phone', 'status']},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{'name': 'sales_fact', 'key': 'sale_id',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'cols': ['amount', 'quantity', 'discount', 'sale_date']},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THRESHOLD = 0.0001  # 0.01% acceptable mismatch rate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reconcile_table(conn, table_cfg):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name, key = table_cfg['name'], table_cfg['key']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pc = pd.read_sql(f'SELECT * FROM dwh_pc.{name}', conn)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iics = pd.read_sql(f'SELECT * FROM dwh_iics.{name}', conn)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# Record count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if len(pc) != len(iics):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return {'table': name, 'status': 'FAIL',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'reason': f'Count: PC={len(pc)}, IICS={len(iics)}'}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# Field-level comparison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merged = pc.merge(iics, on=key, suffixes=('_pc', '_iics'))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mismatches = 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for col in table_cfg['cols']: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diff = merged[merged[f'{col}_pc'] != merged[f'{col}_iics']]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mismatches += len(diff)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rate = mismatches / (len(merged) * len(table_cfg['cols']))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status = 'PASS' if rate &lt;= THRESHOLD else 'FAIL'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return {'table': name, 'status': status,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'mismatch_rate': f'{rate:.6f}'}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main():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conn = pyodbc.connect(CONN_STR)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results = [reconcile_table(conn, t) for t in TABLES]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failures = [r for r in results if r['status'] == 'FAIL']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if failures: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send_alert(failures)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conn.close()</w:t>
      </w:r>
    </w:p>
    <w:p/>
    <w:p>
      <w:pPr>
        <w:pStyle w:val="Heading2"/>
      </w:pPr>
      <w:r>
        <w:t>7.3 Scheduling Recommendations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ETL Frequency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Reconciliation Timing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Alert Channel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Escalation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Daily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30 min after ETL completion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Email + Slack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P1: PagerDuty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Hourly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15 min after each run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Slack only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P1: Email + phone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Weekly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Same day, 2 hours after ETL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P1: Email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Next business day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Email + meeting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P1: Escalation call</w:t>
            </w:r>
          </w:p>
        </w:tc>
      </w:tr>
    </w:tbl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Reconciliation must run AFTER both PC and IICS ETL complete. Use ETL completion events or timestamps to trigger reconciliation, not fixed schedules.</w:t>
      </w:r>
    </w:p>
    <w:p/>
    <w:p>
      <w:r>
        <w:br w:type="page"/>
      </w:r>
    </w:p>
    <w:p>
      <w:pPr>
        <w:pStyle w:val="Heading1"/>
      </w:pPr>
      <w:r>
        <w:t>8. Sign-Off Criteria</w:t>
      </w:r>
    </w:p>
    <w:p>
      <w:r>
        <w:t>Clear sign-off criteria prevent subjective judgments about migration quality.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Criterion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Threshold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Measured By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Enforcement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Critical mismatches (Missing/Extra rows)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0 (zero tolerance)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Exception report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Hard gate - blocks go-live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Value mismatch rate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&lt;0.01% of total row-column comparisons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Reconciliation metrics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Hard gate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Financial amount discrepancies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$0.00 (zero tolerance)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SUM comparison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Hard gate (SOX)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Reconciliation coverage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100% of migrated tables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Coverage report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Hard gate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Parallel run cycles completed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Minimum 3 full cycles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Run log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Hard gate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Root cause resolved for all P1/P2 exceptions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100% resolved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Exception tracker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Hard gate</w:t>
            </w:r>
          </w:p>
        </w:tc>
      </w:tr>
    </w:tbl>
    <w:p/>
    <w:p>
      <w:pPr>
        <w:pStyle w:val="Heading2"/>
      </w:pPr>
      <w:r>
        <w:t>8.1 Sign-Off Authority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Level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Authority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What They Confirm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Technical Sign-Off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Technical Architect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L1-L5 reconciliation passed, performance acceptable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QA Sign-Off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QA Lead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All test phases passed, defect closure complete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Business Sign-Off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Business Product Owner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UAT complete, data accuracy confirmed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Compliance Sign-Off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Compliance Officer (BFSI/HCLS)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Regulatory requirements met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Go-Live Approval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Program Manager + Executive Sponsor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All sign-offs obtained, risk accepted</w:t>
            </w:r>
          </w:p>
        </w:tc>
      </w:tr>
    </w:tbl>
    <w:p/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Sign-off is NOT optional. Every level must be formally obtained with documented evidence before go-live. Verbal approvals are not acceptable for audit purposes.</w:t>
      </w:r>
    </w:p>
    <w:p/>
    <w:p>
      <w:r>
        <w:br w:type="page"/>
      </w:r>
    </w:p>
    <w:p>
      <w:pPr>
        <w:pStyle w:val="Heading1"/>
      </w:pPr>
      <w:r>
        <w:t>9. Python Reconciliation Script (Complete)</w:t>
      </w:r>
    </w:p>
    <w:p>
      <w:r>
        <w:t>The following is a complete, runnable Python reconciliation script that performs L1 through L3 reconciliation and generates an exception report.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#!/usr/bin/env python3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"""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PC-to-IICS Data Reconciliation Script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Usage: python reconcile.py --config config.yaml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"""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argparse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hashlib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pandas as pd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pyodbc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datetime import datetime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pathlib import Path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class Reconciler: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def __init__(self, conn_str, pc_schema, iics_schema):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self.conn = pyodbc.connect(conn_str)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self.pc = pc_schema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self.iics = iics_schema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self.exceptions = []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def l1_record_count(self, table, key_col):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pc_cnt = pd.read_sql(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f'SELECT COUNT(*) AS cnt FROM {self.pc}.{table}',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self.conn).iloc[0]['cnt']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iics_cnt = pd.read_sql(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f'SELECT COUNT(*) AS cnt FROM {self.iics}.{table}',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self.conn).iloc[0]['cnt']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match = pc_cnt == iics_cnt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print(f'  L1 {table}: PC={pc_cnt}, IICS={iics_cnt}',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'PASS' if match else 'FAIL')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return match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def l2_aggregates(self, table, numeric_cols):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results = {}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for col in numeric_cols: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pc_agg = pd.read_sql(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f'SELECT SUM(CAST({col} AS FLOAT)) AS s,',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f' AVG(CAST({col} AS FLOAT)) AS a',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f' FROM {self.pc}.{table}', self.conn).iloc[0]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iics_agg = pd.read_sql(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f'SELECT SUM(CAST({col} AS FLOAT)) AS s,',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f' AVG(CAST({col} AS FLOAT)) AS a',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f' FROM {self.iics}.{table}', self.conn).iloc[0]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match = (abs(pc_agg['s'] - iics_agg['s']) &lt; 0.01)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results[col] = match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if not match: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self.exceptions.append({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'table': table, 'level': 'L2',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'column': col, 'type': 'Aggregate Mismatch',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'pc_value': str(pc_agg['s']),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'iics_value': str(iics_agg['s'])})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return all(results.values())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def l3_field_level(self, table, key_col, compare_cols):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pc_df = pd.read_sql(f'SELECT * FROM {self.pc}.{table}',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        self.conn)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iics_df = pd.read_sql(f'SELECT * FROM {self.iics}.{table}',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          self.conn)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merged = pc_df.merge(iics_df, on=key_col, how='outer',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         suffixes=('_pc', '_iics'), indicator=True)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# Check missing / extra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missing = merged[merged['_merge'] == 'left_only']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extra = merged[merged['_merge'] == 'right_only']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for _, r in missing.iterrows():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self.exceptions.append({'table': table, 'level': 'L3',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'key': r[key_col], 'type': 'Missing in IICS'})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for _, r in extra.iterrows():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self.exceptions.append({'table': table, 'level': 'L3',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'key': r[key_col], 'type': 'Extra in IICS'})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# Field comparison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both = merged[merged['_merge'] == 'both']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mismatch_count = 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for col in compare_cols: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diff = both[both[f'{col}_pc'].astype(str)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    != both[f'{col}_iics'].astype(str)]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mismatch_count += len(diff)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total = len(both) * len(compare_cols)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rate = mismatch_count / total if total &gt; 0 else 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print(f'  L3 {table}: {mismatch_count} mismatches,',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f'rate={rate:.6f}')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return rate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def generate_report(self, output_path):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df = pd.DataFrame(self.exceptions)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df.to_csv(output_path, index=False)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print(f'Report: {output_path} ({len(df)} exceptions)')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if __name__ == '__main__':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recon = Reconciler(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'DRIVER={ODBC Driver 18 for SQL Server};SERVER=...;',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'dwh_pc', 'dwh_iics')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recon.l1_record_count('customer_dim', 'customer_id')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recon.l3_field_level('customer_dim', 'customer_id',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['customer_name', 'email', 'phone', 'status'])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recon.generate_report('reconciliation_report.csv')</w:t>
      </w:r>
    </w:p>
    <w:p/>
    <w:p>
      <w:r>
        <w:br w:type="page"/>
      </w:r>
    </w:p>
    <w:p>
      <w:pPr>
        <w:pStyle w:val="Heading1"/>
      </w:pPr>
      <w:r>
        <w:t>10. SQL Comparison Query Templates</w:t>
      </w:r>
    </w:p>
    <w:p>
      <w:r>
        <w:t>Ready-to-use SQL templates for common reconciliation scenarios.</w:t>
      </w:r>
    </w:p>
    <w:p>
      <w:pPr>
        <w:pStyle w:val="Heading2"/>
      </w:pPr>
      <w:r>
        <w:t>10.1 Record Count Comparison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Generic record count comparison for all tables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'customer_dim' AS table_name,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(SELECT COUNT(*) FROM dwh_pc.customer_dim) AS pc_count,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(SELECT COUNT(*) FROM dwh_iics.customer_dim) AS iics_count,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CASE WHEN (SELECT COUNT(*) FROM dwh_pc.customer_dim)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= (SELECT COUNT(*) FROM dwh_iics.customer_dim)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THEN 'PASS' ELSE 'FAIL' END AS status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UNION ALL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'sales_fact',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(SELECT COUNT(*) FROM dwh_pc.sales_fact),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(SELECT COUNT(*) FROM dwh_iics.sales_fact),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CASE WHEN (SELECT COUNT(*) FROM dwh_pc.sales_fact)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= (SELECT COUNT(*) FROM dwh_iics.sales_fact)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THEN 'PASS' ELSE 'FAIL' END;</w:t>
      </w:r>
    </w:p>
    <w:p/>
    <w:p>
      <w:pPr>
        <w:pStyle w:val="Heading2"/>
      </w:pPr>
      <w:r>
        <w:t>10.2 Aggregate Comparison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Aggregate comparison for numeric columns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'PC' AS source,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COUNT(*) AS row_count,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SUM(amount) AS total_amount,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AVG(amount) AS avg_amount,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MIN(amount) AS min_amount,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MAX(amount) AS max_amount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dwh_pc.sales_fact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UNION ALL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'IICS', COUNT(*), SUM(amount), AVG(amount),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MIN(amount), MAX(amount)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dwh_iics.sales_fact;</w:t>
      </w:r>
    </w:p>
    <w:p/>
    <w:p>
      <w:pPr>
        <w:pStyle w:val="Heading2"/>
      </w:pPr>
      <w:r>
        <w:t>10.3 Missing / Extra Row Detection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Rows in PC but not in IICS (missing)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pc.customer_id, 'Missing in IICS' AS exception_type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dwh_pc.customer_dim pc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LEFT JOIN dwh_iics.customer_dim iics ON pc.customer_id = iics.customer_id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WHERE iics.customer_id IS NULL;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Rows in IICS but not in PC (extra)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iics.customer_id, 'Extra in IICS' AS exception_type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dwh_iics.customer_dim iics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LEFT JOIN dwh_pc.customer_dim pc ON iics.customer_id = pc.customer_id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WHERE pc.customer_id IS NULL;</w:t>
      </w:r>
    </w:p>
    <w:p/>
    <w:p>
      <w:pPr>
        <w:pStyle w:val="Heading2"/>
      </w:pPr>
      <w:r>
        <w:t>10.4 Field-Level Mismatch Detection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Field-level mismatch for specific columns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pc.customer_id,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'customer_name' AS column_name,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pc.customer_name AS pc_value,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iics.customer_name AS iics_value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dwh_pc.customer_dim pc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JOIN dwh_iics.customer_dim iics ON pc.customer_id = iics.customer_id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WHERE ISNULL(pc.customer_name, '') != ISNULL(iics.customer_name, '')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UNION ALL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pc.customer_id, 'email',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pc.email, iics.email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dwh_pc.customer_dim pc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JOIN dwh_iics.customer_dim iics ON pc.customer_id = iics.customer_id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WHERE ISNULL(pc.email, '') != ISNULL(iics.email, '');</w:t>
      </w:r>
    </w:p>
    <w:p/>
    <w:p>
      <w:r>
        <w:br w:type="page"/>
      </w:r>
    </w:p>
    <w:p>
      <w:pPr>
        <w:pStyle w:val="Heading1"/>
      </w:pPr>
      <w:r>
        <w:t>11. Reconciliation Report Template</w:t>
      </w:r>
    </w:p>
    <w:p>
      <w:r>
        <w:t>The final reconciliation report summarizes results across all tables and levels.</w:t>
      </w:r>
    </w:p>
    <w:p>
      <w:pPr>
        <w:pStyle w:val="Heading2"/>
      </w:pPr>
      <w:r>
        <w:t>11.1 Summary Report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Table</w:t>
            </w:r>
          </w:p>
        </w:tc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L1 Count</w:t>
            </w:r>
          </w:p>
        </w:tc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L2 Aggregate</w:t>
            </w:r>
          </w:p>
        </w:tc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L3 Field-Level</w:t>
            </w:r>
          </w:p>
        </w:tc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Mismatch Rate</w:t>
            </w:r>
          </w:p>
        </w:tc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568"/>
          </w:tcPr>
          <w:p>
            <w:r>
              <w:rPr>
                <w:sz w:val="20"/>
              </w:rPr>
              <w:t>customer_dim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PASS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PASS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PASS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0.000%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APPROVED</w:t>
            </w:r>
          </w:p>
        </w:tc>
      </w:tr>
      <w:tr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sales_fact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PASS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PASS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PASS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0.003%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APPROVED</w:t>
            </w:r>
          </w:p>
        </w:tc>
      </w:tr>
      <w:tr>
        <w:tc>
          <w:tcPr>
            <w:tcW w:type="dxa" w:w="1568"/>
          </w:tcPr>
          <w:p>
            <w:r>
              <w:rPr>
                <w:sz w:val="20"/>
              </w:rPr>
              <w:t>product_dim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PASS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PASS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FAIL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0.150%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REJECTED</w:t>
            </w:r>
          </w:p>
        </w:tc>
      </w:tr>
      <w:tr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inventory_fact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FAIL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N/A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N/A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N/A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REJECTED</w:t>
            </w:r>
          </w:p>
        </w:tc>
      </w:tr>
    </w:tbl>
    <w:p/>
    <w:p>
      <w:pPr>
        <w:pStyle w:val="Heading2"/>
      </w:pPr>
      <w:r>
        <w:t>11.2 Exception Summary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Exception Type</w:t>
            </w:r>
          </w:p>
        </w:tc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Count</w:t>
            </w:r>
          </w:p>
        </w:tc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Critical</w:t>
            </w:r>
          </w:p>
        </w:tc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High</w:t>
            </w:r>
          </w:p>
        </w:tc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Medium</w:t>
            </w:r>
          </w:p>
        </w:tc>
        <w:tc>
          <w:tcPr>
            <w:tcW w:type="dxa" w:w="1568"/>
            <w:shd w:fill="0C548A" w:val="clear"/>
          </w:tcPr>
          <w:p>
            <w:r>
              <w:rPr>
                <w:b/>
                <w:color w:val="FFFFFF"/>
                <w:sz w:val="20"/>
              </w:rPr>
              <w:t>Low</w:t>
            </w:r>
          </w:p>
        </w:tc>
      </w:tr>
      <w:tr>
        <w:tc>
          <w:tcPr>
            <w:tcW w:type="dxa" w:w="1568"/>
          </w:tcPr>
          <w:p>
            <w:r>
              <w:rPr>
                <w:sz w:val="20"/>
              </w:rPr>
              <w:t>Missing in IICS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15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15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0</w:t>
            </w:r>
          </w:p>
        </w:tc>
      </w:tr>
      <w:tr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Extra in IICS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0</w:t>
            </w:r>
          </w:p>
        </w:tc>
      </w:tr>
      <w:tr>
        <w:tc>
          <w:tcPr>
            <w:tcW w:type="dxa" w:w="1568"/>
          </w:tcPr>
          <w:p>
            <w:r>
              <w:rPr>
                <w:sz w:val="20"/>
              </w:rPr>
              <w:t>Value Mismatch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142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89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45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8</w:t>
            </w:r>
          </w:p>
        </w:tc>
      </w:tr>
      <w:tr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Type Mismatch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23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23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0</w:t>
            </w:r>
          </w:p>
        </w:tc>
      </w:tr>
      <w:tr>
        <w:tc>
          <w:tcPr>
            <w:tcW w:type="dxa" w:w="1568"/>
          </w:tcPr>
          <w:p>
            <w:r>
              <w:rPr>
                <w:sz w:val="20"/>
              </w:rPr>
              <w:t>NULL Mismatch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67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42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25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0</w:t>
            </w:r>
          </w:p>
        </w:tc>
      </w:tr>
      <w:tr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TOTAL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250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18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131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93</w:t>
            </w:r>
          </w:p>
        </w:tc>
        <w:tc>
          <w:tcPr>
            <w:tcW w:type="dxa" w:w="1568"/>
            <w:shd w:fill="F4F6FA" w:val="clear"/>
          </w:tcPr>
          <w:p>
            <w:r>
              <w:rPr>
                <w:sz w:val="20"/>
              </w:rPr>
              <w:t>8</w:t>
            </w:r>
          </w:p>
        </w:tc>
      </w:tr>
    </w:tbl>
    <w:p/>
    <w:p>
      <w:pPr>
        <w:pStyle w:val="Heading2"/>
      </w:pPr>
      <w:r>
        <w:t>11.3 Sign-Off Section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Verdict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Signature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Technical Architect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</w:r>
          </w:p>
        </w:tc>
        <w:tc>
          <w:tcPr>
            <w:tcW w:type="dxa" w:w="1881"/>
          </w:tcPr>
          <w:p>
            <w:r>
              <w:rPr>
                <w:sz w:val="20"/>
              </w:rPr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Approved / Rejected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QA Lead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Approved / Rejected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Business Owner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</w:r>
          </w:p>
        </w:tc>
        <w:tc>
          <w:tcPr>
            <w:tcW w:type="dxa" w:w="1881"/>
          </w:tcPr>
          <w:p>
            <w:r>
              <w:rPr>
                <w:sz w:val="20"/>
              </w:rPr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Approved / Rejected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Compliance Officer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Approved / Rejected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Program Manager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</w:r>
          </w:p>
        </w:tc>
        <w:tc>
          <w:tcPr>
            <w:tcW w:type="dxa" w:w="1881"/>
          </w:tcPr>
          <w:p>
            <w:r>
              <w:rPr>
                <w:sz w:val="20"/>
              </w:rPr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Go / No-Go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</w:r>
          </w:p>
        </w:tc>
      </w:tr>
    </w:tbl>
    <w:p/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This report is an auditable artifact. Retain for minimum 7 years for SOX compliance and 6 years for HIPAA compliance.</w:t>
      </w:r>
    </w:p>
    <w:p/>
    <w:p>
      <w:r>
        <w:br w:type="page"/>
      </w:r>
    </w:p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#40 INFA Migration Readiness Assessment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Migration_Library/Assessment/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#41 INFA Inventory Complexity Analysis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Migration_Library/Assessment/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#42 INFA Migration Testing Strategy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Migration_Library/Testing/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#10 INFA IICS Monitoring &amp; Observability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Core_Library/Operations/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Informatica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C548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C54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C548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