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jc w:val="center"/>
      </w:pPr>
    </w:p>
    <w:p>
      <w:pPr>
        <w:jc w:val="center"/>
      </w:pPr>
    </w:p>
    <w:p>
      <w:pPr>
        <w:jc w:val="center"/>
      </w:pPr>
    </w:p>
    <w:p>
      <w:pPr>
        <w:pStyle w:val="Title"/>
        <w:jc w:val="center"/>
      </w:pPr>
      <w:r>
        <w:rPr>
          <w:color w:val="0F4761"/>
          <w:sz w:val="72"/>
        </w:rPr>
        <w:t>Sales Collateral – Metrics</w:t>
      </w:r>
    </w:p>
    <w:p>
      <w:pPr>
        <w:jc w:val="center"/>
      </w:pPr>
    </w:p>
    <w:p>
      <w:pPr>
        <w:pStyle w:val="Title"/>
        <w:jc w:val="center"/>
      </w:pPr>
      <w:r>
        <w:rPr>
          <w:color w:val="0F4761"/>
          <w:sz w:val="72"/>
        </w:rPr>
        <w:t>Customer Success Metrics Playbook</w:t>
      </w:r>
    </w:p>
    <w:p>
      <w:pPr>
        <w:jc w:val="center"/>
      </w:pPr>
    </w:p>
    <w:p>
      <w:pPr>
        <w:pStyle w:val="Subtitle"/>
        <w:jc w:val="center"/>
      </w:pPr>
      <w:r>
        <w:rPr>
          <w:color w:val="595959"/>
          <w:sz w:val="28"/>
        </w:rPr>
        <w:t>Benchmark KPIs from Databricks Implementations</w:t>
      </w:r>
    </w:p>
    <w:p/>
    <w:p/>
    <w:p/>
    <w:p/>
    <w:p/>
    <w:p/>
    <w:p>
      <w:pPr>
        <w:jc w:val="center"/>
      </w:pPr>
      <w:r>
        <w:rPr>
          <w:b/>
          <w:color w:val="0F4761"/>
          <w:sz w:val="28"/>
        </w:rPr>
        <w:t>Mastech Digital – Databricks Practice</w:t>
      </w:r>
    </w:p>
    <w:p>
      <w:pPr>
        <w:jc w:val="center"/>
      </w:pPr>
      <w:r>
        <w:rPr>
          <w:color w:val="595959"/>
          <w:sz w:val="24"/>
        </w:rPr>
        <w:t>2026</w:t>
      </w:r>
    </w:p>
    <w:p>
      <w:r>
        <w:br w:type="page"/>
      </w:r>
    </w:p>
    <w:p>
      <w:pPr>
        <w:pStyle w:val="Heading1"/>
      </w:pPr>
      <w:r>
        <w:rPr>
          <w:color w:val="0F4761"/>
          <w:sz w:val="40"/>
        </w:rPr>
        <w:t>1. Executive Summary</w:t>
      </w:r>
    </w:p>
    <w:p>
      <w:pPr>
        <w:spacing w:after="120"/>
      </w:pPr>
      <w:r>
        <w:t>Credibility in enterprise sales is built on evidence. The Customer Success Metrics Playbook provides Mastech Digital sales teams with a comprehensive library of benchmark KPIs, before/after performance comparisons, and quantified outcome data drawn from Databricks Lakehouse implementations across industries. These metrics serve as the evidentiary foundation for every value claim made during the sales cycle.</w:t>
      </w:r>
    </w:p>
    <w:p>
      <w:pPr>
        <w:spacing w:after="120"/>
      </w:pPr>
      <w:r>
        <w:t>This playbook is organized by offering to enable rapid retrieval of relevant metrics during prospect conversations, proposal development, and executive presentations. Each benchmark includes the measurement methodology, typical range of outcomes, and guidance on contextualizing metrics for specific industries and organizational profiles.</w:t>
      </w:r>
    </w:p>
    <w:p>
      <w:pPr>
        <w:spacing w:after="120"/>
      </w:pPr>
      <w:r>
        <w:t>By consistently referencing validated customer success metrics, Mastech Digital professionals differentiate from competitors who rely on generic vendor marketing claims. Prospects respond to specific, quantified outcomes because they translate abstract technology capabilities into concrete business value they can visualize in their own organizations.</w:t>
      </w:r>
    </w:p>
    <w:p>
      <w:pPr>
        <w:pStyle w:val="Heading1"/>
      </w:pPr>
      <w:r>
        <w:rPr>
          <w:color w:val="0F4761"/>
          <w:sz w:val="40"/>
        </w:rPr>
        <w:t>2. How to Use This Playbook</w:t>
      </w:r>
    </w:p>
    <w:p>
      <w:pPr>
        <w:spacing w:after="120"/>
      </w:pPr>
      <w:r>
        <w:t>This playbook is designed as a practical sales enablement tool. The following guidelines ensure that metrics are presented effectively and credibly in prospect interactions.</w:t>
      </w:r>
    </w:p>
    <w:p>
      <w:pPr>
        <w:pStyle w:val="Heading2"/>
      </w:pPr>
      <w:r>
        <w:rPr>
          <w:color w:val="0F4761"/>
          <w:sz w:val="32"/>
        </w:rPr>
        <w:t>Selecting Relevant Metrics</w:t>
      </w:r>
    </w:p>
    <w:p>
      <w:pPr>
        <w:spacing w:after="120"/>
      </w:pPr>
      <w:r>
        <w:t>Not every metric is relevant to every prospect. During discovery, identify the prospect’s primary pain points and strategic priorities, then select the 3–5 most impactful metrics from the relevant offering sections. Overloading a prospect with too many metrics dilutes impact; focused, targeted metrics create stronger impressions.</w:t>
      </w:r>
    </w:p>
    <w:p>
      <w:pPr>
        <w:numPr>
          <w:ilvl w:val="0"/>
          <w:numId w:val="1"/>
        </w:numPr>
        <w:pStyle w:val="ListParagraph"/>
      </w:pPr>
      <w:r>
        <w:rPr>
          <w:b/>
        </w:rPr>
        <w:t xml:space="preserve">For Cost-Focused Buyers: </w:t>
      </w:r>
      <w:r>
        <w:t>Lead with TCO reduction percentages, infrastructure savings, and personnel efficiency metrics. CFOs and procurement leaders respond to hard-dollar savings that can be mapped directly to budget line items.</w:t>
      </w:r>
    </w:p>
    <w:p>
      <w:pPr>
        <w:numPr>
          <w:ilvl w:val="0"/>
          <w:numId w:val="1"/>
        </w:numPr>
        <w:pStyle w:val="ListParagraph"/>
      </w:pPr>
      <w:r>
        <w:rPr>
          <w:b/>
        </w:rPr>
        <w:t xml:space="preserve">For Innovation-Focused Buyers: </w:t>
      </w:r>
      <w:r>
        <w:t>Lead with speed metrics (time-to-insight, model deployment velocity, pipeline throughput). CTOs and Chief Data Officers are motivated by acceleration capabilities that unlock previously impossible initiatives.</w:t>
      </w:r>
    </w:p>
    <w:p>
      <w:pPr>
        <w:numPr>
          <w:ilvl w:val="0"/>
          <w:numId w:val="1"/>
        </w:numPr>
        <w:pStyle w:val="ListParagraph"/>
      </w:pPr>
      <w:r>
        <w:rPr>
          <w:b/>
        </w:rPr>
        <w:t xml:space="preserve">For Risk-Focused Buyers: </w:t>
      </w:r>
      <w:r>
        <w:t>Lead with quality improvement, SLA compliance, and governance metrics. CISOs, compliance officers, and regulated-industry leaders prioritize risk mitigation and regulatory alignment above all other value dimensions.</w:t>
      </w:r>
    </w:p>
    <w:p>
      <w:pPr>
        <w:pStyle w:val="Heading2"/>
      </w:pPr>
      <w:r>
        <w:rPr>
          <w:color w:val="0F4761"/>
          <w:sz w:val="32"/>
        </w:rPr>
        <w:t>Presenting Metrics Credibly</w:t>
      </w:r>
    </w:p>
    <w:p>
      <w:pPr>
        <w:spacing w:after="120"/>
      </w:pPr>
      <w:r>
        <w:t>Always present metrics as ranges rather than single numbers (e.g., “50–70% reduction” rather than “60% reduction”). This approach acknowledges variability across client contexts and builds credibility. When possible, reference the industry vertical, approximate scale, and deployment timeline associated with each benchmark.</w:t>
      </w:r>
    </w:p>
    <w:p>
      <w:pPr>
        <w:numPr>
          <w:ilvl w:val="0"/>
          <w:numId w:val="1"/>
        </w:numPr>
        <w:pStyle w:val="ListParagraph"/>
      </w:pPr>
      <w:r>
        <w:rPr>
          <w:b/>
        </w:rPr>
        <w:t xml:space="preserve">Attribution: </w:t>
      </w:r>
      <w:r>
        <w:t>Frame metrics as “Mastech Digital delivery benchmarks” or “outcomes from comparable enterprise implementations.” Avoid attributing metrics to specific named clients without explicit written permission.</w:t>
      </w:r>
    </w:p>
    <w:p>
      <w:pPr>
        <w:numPr>
          <w:ilvl w:val="0"/>
          <w:numId w:val="1"/>
        </w:numPr>
        <w:pStyle w:val="ListParagraph"/>
      </w:pPr>
      <w:r>
        <w:rPr>
          <w:b/>
        </w:rPr>
        <w:t xml:space="preserve">Conservative Framing: </w:t>
      </w:r>
      <w:r>
        <w:t>When projecting metrics for a specific prospect, apply a 0.7x–0.85x adjustment factor to benchmark ranges. Under-promising and over-delivering builds long-term trust and referenceability.</w:t>
      </w:r>
    </w:p>
    <w:p>
      <w:pPr>
        <w:pStyle w:val="Heading1"/>
      </w:pPr>
      <w:r>
        <w:rPr>
          <w:color w:val="0F4761"/>
          <w:sz w:val="40"/>
        </w:rPr>
        <w:t>3. Benchmark Metrics by Offering</w:t>
      </w:r>
    </w:p>
    <w:p>
      <w:pPr>
        <w:spacing w:after="120"/>
      </w:pPr>
      <w:r>
        <w:t>The following sections provide detailed benchmark KPIs for each of Mastech Digital’s five Databricks solution offerings. Each subsection includes key performance indicators with before/after comparisons, measurement methodologies, and contextual guidance for sales conversations.</w:t>
      </w:r>
    </w:p>
    <w:p>
      <w:pPr>
        <w:pStyle w:val="Heading2"/>
      </w:pPr>
      <w:r>
        <w:rPr>
          <w:color w:val="0F4761"/>
          <w:sz w:val="32"/>
        </w:rPr>
        <w:t>3.1 Platform Modernization Benchmarks</w:t>
      </w:r>
    </w:p>
    <w:p>
      <w:pPr>
        <w:spacing w:after="120"/>
      </w:pPr>
      <w:r>
        <w:t>Platform Modernization benchmarks are drawn from enterprise migrations of legacy Teradata, Hadoop, Oracle Exadata, and Informatica environments to Databricks Lakehouse. These metrics reflect end-to-end migration outcomes including planning, execution, validation, and go-live stabilization phases.</w:t>
      </w:r>
    </w:p>
    <w:p>
      <w:pPr>
        <w:pStyle w:val="Heading3"/>
      </w:pPr>
      <w:r>
        <w:rPr>
          <w:color w:val="0F4761"/>
          <w:sz w:val="28"/>
        </w:rPr>
        <w:t>Migration Performance KPIs</w:t>
      </w:r>
    </w:p>
    <w:p>
      <w:pPr>
        <w:numPr>
          <w:ilvl w:val="0"/>
          <w:numId w:val="1"/>
        </w:numPr>
        <w:pStyle w:val="ListParagraph"/>
      </w:pPr>
      <w:r>
        <w:rPr>
          <w:b/>
        </w:rPr>
        <w:t xml:space="preserve">Migration Timeline: </w:t>
      </w:r>
      <w:r>
        <w:t>Before: 18–24 months (manual migration). After: 6–10 months (SLM-automated). Improvement: 50–70% faster. Measurement: project initiation to production cutover date.</w:t>
      </w:r>
    </w:p>
    <w:p>
      <w:pPr>
        <w:numPr>
          <w:ilvl w:val="0"/>
          <w:numId w:val="1"/>
        </w:numPr>
        <w:pStyle w:val="ListParagraph"/>
      </w:pPr>
      <w:r>
        <w:rPr>
          <w:b/>
        </w:rPr>
        <w:t xml:space="preserve">Code Conversion Automation Rate: </w:t>
      </w:r>
      <w:r>
        <w:t>Before: 0–15% (scripted conversion of simple objects). After: 70–85% (SLM-powered automated conversion). Measurement: percentage of total code objects converted without manual rewrite.</w:t>
      </w:r>
    </w:p>
    <w:p>
      <w:pPr>
        <w:numPr>
          <w:ilvl w:val="0"/>
          <w:numId w:val="1"/>
        </w:numPr>
        <w:pStyle w:val="ListParagraph"/>
      </w:pPr>
      <w:r>
        <w:rPr>
          <w:b/>
        </w:rPr>
        <w:t xml:space="preserve">Business Logic Fidelity: </w:t>
      </w:r>
      <w:r>
        <w:t>Before: 85–92% (manual migration with logic drift). After: 99.5–100% (automated validation with reconciliation testing). Measurement: automated comparison of output datasets between source and target systems across 10,000+ test cases.</w:t>
      </w:r>
    </w:p>
    <w:p>
      <w:pPr>
        <w:pStyle w:val="Heading3"/>
      </w:pPr>
      <w:r>
        <w:rPr>
          <w:color w:val="0F4761"/>
          <w:sz w:val="28"/>
        </w:rPr>
        <w:t>Cost and Performance KPIs</w:t>
      </w:r>
    </w:p>
    <w:p>
      <w:pPr>
        <w:numPr>
          <w:ilvl w:val="0"/>
          <w:numId w:val="1"/>
        </w:numPr>
        <w:pStyle w:val="ListParagraph"/>
      </w:pPr>
      <w:r>
        <w:rPr>
          <w:b/>
        </w:rPr>
        <w:t xml:space="preserve">Total Cost of Ownership: </w:t>
      </w:r>
      <w:r>
        <w:t>Before: $1.5M–$8M annually (legacy stack). After: $0.6M–$3.2M annually (Databricks). Improvement: 40–60% TCO reduction. Measurement: all-in annual cost including licensing, infrastructure, operations, and allocated overhead.</w:t>
      </w:r>
    </w:p>
    <w:p>
      <w:pPr>
        <w:numPr>
          <w:ilvl w:val="0"/>
          <w:numId w:val="1"/>
        </w:numPr>
        <w:pStyle w:val="ListParagraph"/>
      </w:pPr>
      <w:r>
        <w:rPr>
          <w:b/>
        </w:rPr>
        <w:t xml:space="preserve">Query Performance: </w:t>
      </w:r>
      <w:r>
        <w:t>Before: 30–180 seconds average (complex analytical queries on Teradata/Hive). After: 5–40 seconds (Databricks SQL with Photon). Improvement: 3–5x faster. Measurement: P50 and P95 latency of top-100 production queries.</w:t>
      </w:r>
    </w:p>
    <w:p>
      <w:pPr>
        <w:numPr>
          <w:ilvl w:val="0"/>
          <w:numId w:val="1"/>
        </w:numPr>
        <w:pStyle w:val="ListParagraph"/>
      </w:pPr>
      <w:r>
        <w:rPr>
          <w:b/>
        </w:rPr>
        <w:t xml:space="preserve">Data Processing Throughput: </w:t>
      </w:r>
      <w:r>
        <w:t>Before: 2–8 TB/hour (legacy ETL batch processing). After: 10–50 TB/hour (Databricks Spark-optimized). Improvement: 5–6x increase. Measurement: end-to-end batch processing volume per hour for production workloads.</w:t>
      </w:r>
    </w:p>
    <w:p>
      <w:pPr>
        <w:pStyle w:val="Heading2"/>
      </w:pPr>
      <w:r>
        <w:rPr>
          <w:color w:val="0F4761"/>
          <w:sz w:val="32"/>
        </w:rPr>
        <w:t>3.2 Data Engineering Benchmarks</w:t>
      </w:r>
    </w:p>
    <w:p>
      <w:pPr>
        <w:spacing w:after="120"/>
      </w:pPr>
      <w:r>
        <w:t>Data Engineering benchmarks reflect the impact of deploying Mastech Digital’s Autonomous Data Engineering solution with AI agents for Discovery, Ingestion, Governance, and Quality. These metrics are measured after a 90-day stabilization period following initial deployment to ensure they reflect steady-state operational performance.</w:t>
      </w:r>
    </w:p>
    <w:p>
      <w:pPr>
        <w:pStyle w:val="Heading3"/>
      </w:pPr>
      <w:r>
        <w:rPr>
          <w:color w:val="0F4761"/>
          <w:sz w:val="28"/>
        </w:rPr>
        <w:t>Productivity KPIs</w:t>
      </w:r>
    </w:p>
    <w:p>
      <w:pPr>
        <w:numPr>
          <w:ilvl w:val="0"/>
          <w:numId w:val="1"/>
        </w:numPr>
        <w:pStyle w:val="ListParagraph"/>
      </w:pPr>
      <w:r>
        <w:rPr>
          <w:b/>
        </w:rPr>
        <w:t xml:space="preserve">Pipeline Development Time: </w:t>
      </w:r>
      <w:r>
        <w:t>Before: 2–4 weeks per pipeline (manual development). After: 1–3 days per pipeline (AI agent-assisted). Improvement: 80–90% reduction. Measurement: elapsed time from requirements approval to production deployment for standard ingestion pipelines.</w:t>
      </w:r>
    </w:p>
    <w:p>
      <w:pPr>
        <w:numPr>
          <w:ilvl w:val="0"/>
          <w:numId w:val="1"/>
        </w:numPr>
        <w:pStyle w:val="ListParagraph"/>
      </w:pPr>
      <w:r>
        <w:rPr>
          <w:b/>
        </w:rPr>
        <w:t xml:space="preserve">Engineering Effort per Pipeline: </w:t>
      </w:r>
      <w:r>
        <w:t>Before: 80–160 person-hours. After: 10–30 person-hours. Improvement: 70–85% reduction. Measurement: total human effort logged against pipeline development tasks.</w:t>
      </w:r>
    </w:p>
    <w:p>
      <w:pPr>
        <w:numPr>
          <w:ilvl w:val="0"/>
          <w:numId w:val="1"/>
        </w:numPr>
        <w:pStyle w:val="ListParagraph"/>
      </w:pPr>
      <w:r>
        <w:rPr>
          <w:b/>
        </w:rPr>
        <w:t xml:space="preserve">Pipeline Backlog Clearance: </w:t>
      </w:r>
      <w:r>
        <w:t>Before: 40–100 pending pipeline requests (6–12 month backlog). After: 5–15 pending requests (2–4 week backlog). Improvement: 80–90% backlog reduction. Measurement: count of approved but undelivered pipeline requests at month-end.</w:t>
      </w:r>
    </w:p>
    <w:p>
      <w:pPr>
        <w:pStyle w:val="Heading3"/>
      </w:pPr>
      <w:r>
        <w:rPr>
          <w:color w:val="0F4761"/>
          <w:sz w:val="28"/>
        </w:rPr>
        <w:t>Quality and Throughput KPIs</w:t>
      </w:r>
    </w:p>
    <w:p>
      <w:pPr>
        <w:numPr>
          <w:ilvl w:val="0"/>
          <w:numId w:val="1"/>
        </w:numPr>
        <w:pStyle w:val="ListParagraph"/>
      </w:pPr>
      <w:r>
        <w:rPr>
          <w:b/>
        </w:rPr>
        <w:t xml:space="preserve">Data Quality Incidents: </w:t>
      </w:r>
      <w:r>
        <w:t>Before: 15–40 production incidents per month. After: 5–15 incidents per month. Improvement: 60–65% reduction. Measurement: count of data quality issues requiring human intervention in production environment.</w:t>
      </w:r>
    </w:p>
    <w:p>
      <w:pPr>
        <w:numPr>
          <w:ilvl w:val="0"/>
          <w:numId w:val="1"/>
        </w:numPr>
        <w:pStyle w:val="ListParagraph"/>
      </w:pPr>
      <w:r>
        <w:rPr>
          <w:b/>
        </w:rPr>
        <w:t xml:space="preserve">Pipeline Throughput: </w:t>
      </w:r>
      <w:r>
        <w:t>Before: 50–150 active pipelines per team. After: 300–1,000+ active pipelines per team. Improvement: 5–10x increase. Measurement: count of production pipelines actively managed by a standard 8–10 person data engineering team.</w:t>
      </w:r>
    </w:p>
    <w:p>
      <w:pPr>
        <w:numPr>
          <w:ilvl w:val="0"/>
          <w:numId w:val="1"/>
        </w:numPr>
        <w:pStyle w:val="ListParagraph"/>
      </w:pPr>
      <w:r>
        <w:rPr>
          <w:b/>
        </w:rPr>
        <w:t xml:space="preserve">Data Freshness SLA: </w:t>
      </w:r>
      <w:r>
        <w:t>Before: 70–80% of datasets meeting freshness SLA. After: 95–99% of datasets meeting freshness SLA. Improvement: 25–30 percentage point increase. Measurement: percentage of governed datasets with data refresh within defined SLA windows.</w:t>
      </w:r>
    </w:p>
    <w:p>
      <w:pPr>
        <w:pStyle w:val="Heading2"/>
      </w:pPr>
      <w:r>
        <w:rPr>
          <w:color w:val="0F4761"/>
          <w:sz w:val="32"/>
        </w:rPr>
        <w:t>3.3 Analytics &amp; BI Benchmarks</w:t>
      </w:r>
    </w:p>
    <w:p>
      <w:pPr>
        <w:spacing w:after="120"/>
      </w:pPr>
      <w:r>
        <w:t>Analytics &amp; BI benchmarks capture the transformative impact of Mastech Digital’s Autonomous Analytics &amp; BI solution on insight delivery speed, user adoption, and BI team productivity. These metrics are particularly compelling for organizations struggling with low BI adoption rates and bottlenecked analytics request queues.</w:t>
      </w:r>
    </w:p>
    <w:p>
      <w:pPr>
        <w:pStyle w:val="Heading3"/>
      </w:pPr>
      <w:r>
        <w:rPr>
          <w:color w:val="0F4761"/>
          <w:sz w:val="28"/>
        </w:rPr>
        <w:t>Speed and Access KPIs</w:t>
      </w:r>
    </w:p>
    <w:p>
      <w:pPr>
        <w:numPr>
          <w:ilvl w:val="0"/>
          <w:numId w:val="1"/>
        </w:numPr>
        <w:pStyle w:val="ListParagraph"/>
      </w:pPr>
      <w:r>
        <w:rPr>
          <w:b/>
        </w:rPr>
        <w:t xml:space="preserve">Time-to-Insight: </w:t>
      </w:r>
      <w:r>
        <w:t>Before: 3–5 business days (ad-hoc report request to delivery). After: 30–90 seconds (natural language query to visualization). Improvement: 100x+ faster. Measurement: elapsed time from business question formulation to actionable answer delivery.</w:t>
      </w:r>
    </w:p>
    <w:p>
      <w:pPr>
        <w:numPr>
          <w:ilvl w:val="0"/>
          <w:numId w:val="1"/>
        </w:numPr>
        <w:pStyle w:val="ListParagraph"/>
      </w:pPr>
      <w:r>
        <w:rPr>
          <w:b/>
        </w:rPr>
        <w:t xml:space="preserve">Self-Service Adoption Rate: </w:t>
      </w:r>
      <w:r>
        <w:t>Before: 15–25% of business users (limited to SQL-proficient analysts). After: 80–90% of business users (natural language interface). Improvement: 4–5x expansion. Measurement: monthly active users performing analytics queries as a percentage of total licensed business users.</w:t>
      </w:r>
    </w:p>
    <w:p>
      <w:pPr>
        <w:numPr>
          <w:ilvl w:val="0"/>
          <w:numId w:val="1"/>
        </w:numPr>
        <w:pStyle w:val="ListParagraph"/>
      </w:pPr>
      <w:r>
        <w:rPr>
          <w:b/>
        </w:rPr>
        <w:t xml:space="preserve">Ad-Hoc Query Volume: </w:t>
      </w:r>
      <w:r>
        <w:t>Before: 200–500 ad-hoc queries per week (limited by BI team capacity). After: 2,000–10,000+ queries per week (self-service). Improvement: 10–20x increase. Measurement: weekly count of unique analytical queries executed across all users.</w:t>
      </w:r>
    </w:p>
    <w:p>
      <w:pPr>
        <w:pStyle w:val="Heading3"/>
      </w:pPr>
      <w:r>
        <w:rPr>
          <w:color w:val="0F4761"/>
          <w:sz w:val="28"/>
        </w:rPr>
        <w:t>Efficiency and Quality KPIs</w:t>
      </w:r>
    </w:p>
    <w:p>
      <w:pPr>
        <w:numPr>
          <w:ilvl w:val="0"/>
          <w:numId w:val="1"/>
        </w:numPr>
        <w:pStyle w:val="ListParagraph"/>
      </w:pPr>
      <w:r>
        <w:rPr>
          <w:b/>
        </w:rPr>
        <w:t xml:space="preserve">BI Team Workload: </w:t>
      </w:r>
      <w:r>
        <w:t>Before: 80–90% of BI analyst time spent on ad-hoc report requests. After: 30–40% of time on ad-hoc requests, 60–70% on strategic analysis. Improvement: 50% workload reduction for ad-hoc work. Measurement: time allocation survey and ticket volume analysis for BI team members.</w:t>
      </w:r>
    </w:p>
    <w:p>
      <w:pPr>
        <w:numPr>
          <w:ilvl w:val="0"/>
          <w:numId w:val="1"/>
        </w:numPr>
        <w:pStyle w:val="ListParagraph"/>
      </w:pPr>
      <w:r>
        <w:rPr>
          <w:b/>
        </w:rPr>
        <w:t xml:space="preserve">Report Accuracy: </w:t>
      </w:r>
      <w:r>
        <w:t>Before: 85–92% accuracy for ad-hoc reports (human error in SQL, joins, filters). After: 95–99% accuracy (AI-generated queries with semantic validation). Improvement: 5–10 percentage point increase. Measurement: error rate tracked through user-reported issues and automated validation checks.</w:t>
      </w:r>
    </w:p>
    <w:p>
      <w:pPr>
        <w:numPr>
          <w:ilvl w:val="0"/>
          <w:numId w:val="1"/>
        </w:numPr>
        <w:pStyle w:val="ListParagraph"/>
      </w:pPr>
      <w:r>
        <w:rPr>
          <w:b/>
        </w:rPr>
        <w:t xml:space="preserve">Dashboard Load Time: </w:t>
      </w:r>
      <w:r>
        <w:t>Before: 15–45 seconds (traditional BI tool rendering). After: 2–8 seconds (Databricks SQL Serverless + AI-optimized queries). Improvement: 5–8x faster. Measurement: average dashboard rendering time across top-50 most-accessed dashboards.</w:t>
      </w:r>
    </w:p>
    <w:p>
      <w:pPr>
        <w:pStyle w:val="Heading2"/>
      </w:pPr>
      <w:r>
        <w:rPr>
          <w:color w:val="0F4761"/>
          <w:sz w:val="32"/>
        </w:rPr>
        <w:t>3.4 Data Science Benchmarks</w:t>
      </w:r>
    </w:p>
    <w:p>
      <w:pPr>
        <w:spacing w:after="120"/>
      </w:pPr>
      <w:r>
        <w:t>Data Science benchmarks reflect the impact of Mastech Digital’s Autonomous Data Science offering on ML lifecycle efficiency, model deployment rates, and time-to-production. These metrics address the pervasive “model graveyard” challenge where most enterprise ML initiatives fail to deliver production value.</w:t>
      </w:r>
    </w:p>
    <w:p>
      <w:pPr>
        <w:pStyle w:val="Heading3"/>
      </w:pPr>
      <w:r>
        <w:rPr>
          <w:color w:val="0F4761"/>
          <w:sz w:val="28"/>
        </w:rPr>
        <w:t>Lifecycle Efficiency KPIs</w:t>
      </w:r>
    </w:p>
    <w:p>
      <w:pPr>
        <w:numPr>
          <w:ilvl w:val="0"/>
          <w:numId w:val="1"/>
        </w:numPr>
        <w:pStyle w:val="ListParagraph"/>
      </w:pPr>
      <w:r>
        <w:rPr>
          <w:b/>
        </w:rPr>
        <w:t xml:space="preserve">Data Preparation Time: </w:t>
      </w:r>
      <w:r>
        <w:t>Before: 60–80% of data scientist time (manual wrangling, cleaning, feature engineering). After: 10–20% of time (automated by AI agents). Improvement: 70–80% reduction. Measurement: percentage of data scientist work hours allocated to data preparation tasks versus model development and analysis.</w:t>
      </w:r>
    </w:p>
    <w:p>
      <w:pPr>
        <w:numPr>
          <w:ilvl w:val="0"/>
          <w:numId w:val="1"/>
        </w:numPr>
        <w:pStyle w:val="ListParagraph"/>
      </w:pPr>
      <w:r>
        <w:rPr>
          <w:b/>
        </w:rPr>
        <w:t xml:space="preserve">Feature Engineering: </w:t>
      </w:r>
      <w:r>
        <w:t>Before: 2–4 weeks per feature set (manual exploration and creation). After: 2–5 days per feature set (automated feature discovery and engineering). Improvement: 75–85% reduction. Measurement: elapsed time from raw data availability to validated feature set ready for model training.</w:t>
      </w:r>
    </w:p>
    <w:p>
      <w:pPr>
        <w:numPr>
          <w:ilvl w:val="0"/>
          <w:numId w:val="1"/>
        </w:numPr>
        <w:pStyle w:val="ListParagraph"/>
      </w:pPr>
      <w:r>
        <w:rPr>
          <w:b/>
        </w:rPr>
        <w:t xml:space="preserve">Model Selection and Tuning: </w:t>
      </w:r>
      <w:r>
        <w:t>Before: 2–6 weeks (manual experimentation with limited architectures). After: 1–3 days (AutoML evaluation of 100+ architectures). Improvement: 80–90% reduction. Measurement: elapsed time from feature set finalization to optimal model selection with validated hyperparameters.</w:t>
      </w:r>
    </w:p>
    <w:p>
      <w:pPr>
        <w:pStyle w:val="Heading3"/>
      </w:pPr>
      <w:r>
        <w:rPr>
          <w:color w:val="0F4761"/>
          <w:sz w:val="28"/>
        </w:rPr>
        <w:t>Deployment and Production KPIs</w:t>
      </w:r>
    </w:p>
    <w:p>
      <w:pPr>
        <w:numPr>
          <w:ilvl w:val="0"/>
          <w:numId w:val="1"/>
        </w:numPr>
        <w:pStyle w:val="ListParagraph"/>
      </w:pPr>
      <w:r>
        <w:rPr>
          <w:b/>
        </w:rPr>
        <w:t xml:space="preserve">Model Deployment Rate: </w:t>
      </w:r>
      <w:r>
        <w:t>Before: 15–25% of developed models reach production. After: 55–70% of developed models reach production. Improvement: 3x increase. Measurement: percentage of models approved for development that achieve production deployment status within 6 months.</w:t>
      </w:r>
    </w:p>
    <w:p>
      <w:pPr>
        <w:numPr>
          <w:ilvl w:val="0"/>
          <w:numId w:val="1"/>
        </w:numPr>
        <w:pStyle w:val="ListParagraph"/>
      </w:pPr>
      <w:r>
        <w:rPr>
          <w:b/>
        </w:rPr>
        <w:t xml:space="preserve">End-to-End ML Project Duration: </w:t>
      </w:r>
      <w:r>
        <w:t>Before: 3–6 months (from business problem to production model). After: 2–4 weeks (for standard ML use cases). Improvement: from months to days/weeks. Measurement: elapsed calendar time from project kickoff to production model serving its first prediction.</w:t>
      </w:r>
    </w:p>
    <w:p>
      <w:pPr>
        <w:numPr>
          <w:ilvl w:val="0"/>
          <w:numId w:val="1"/>
        </w:numPr>
        <w:pStyle w:val="ListParagraph"/>
      </w:pPr>
      <w:r>
        <w:rPr>
          <w:b/>
        </w:rPr>
        <w:t xml:space="preserve">Model Monitoring Coverage: </w:t>
      </w:r>
      <w:r>
        <w:t>Before: 30–50% of production models actively monitored for drift. After: 100% of production models monitored with automated alerting. Improvement: complete coverage. Measurement: percentage of production models with active drift detection, performance monitoring, and automated retraining triggers.</w:t>
      </w:r>
    </w:p>
    <w:p>
      <w:pPr>
        <w:pStyle w:val="Heading2"/>
      </w:pPr>
      <w:r>
        <w:rPr>
          <w:color w:val="0F4761"/>
          <w:sz w:val="32"/>
        </w:rPr>
        <w:t>3.5 Platform Operations Benchmarks</w:t>
      </w:r>
    </w:p>
    <w:p>
      <w:pPr>
        <w:spacing w:after="120"/>
      </w:pPr>
      <w:r>
        <w:t>Platform Operations benchmarks reflect the impact of Mastech Digital’s Autonomous Platform Operations across the 8-dimensional operational framework. These metrics are measured after full deployment of all eight operational dimensions (InfraOps, DataOps, PipelineOps, GovernanceOps, MLOps, AIAgentOps, CostOps, ExperienceOps).</w:t>
      </w:r>
    </w:p>
    <w:p>
      <w:pPr>
        <w:pStyle w:val="Heading3"/>
      </w:pPr>
      <w:r>
        <w:rPr>
          <w:color w:val="0F4761"/>
          <w:sz w:val="28"/>
        </w:rPr>
        <w:t>Reliability and Efficiency KPIs</w:t>
      </w:r>
    </w:p>
    <w:p>
      <w:pPr>
        <w:numPr>
          <w:ilvl w:val="0"/>
          <w:numId w:val="1"/>
        </w:numPr>
        <w:pStyle w:val="ListParagraph"/>
      </w:pPr>
      <w:r>
        <w:rPr>
          <w:b/>
        </w:rPr>
        <w:t xml:space="preserve">Platform Availability: </w:t>
      </w:r>
      <w:r>
        <w:t>Before: 95–98% (frequent unplanned outages and degradation events). After: 99.9%+ (proactive monitoring with self-healing). Improvement: 2–4 nines improvement. Measurement: percentage of time all critical platform services are fully operational, measured monthly.</w:t>
      </w:r>
    </w:p>
    <w:p>
      <w:pPr>
        <w:numPr>
          <w:ilvl w:val="0"/>
          <w:numId w:val="1"/>
        </w:numPr>
        <w:pStyle w:val="ListParagraph"/>
      </w:pPr>
      <w:r>
        <w:rPr>
          <w:b/>
        </w:rPr>
        <w:t xml:space="preserve">Mean Time to Resolution (MTTR): </w:t>
      </w:r>
      <w:r>
        <w:t>Before: 2–8 hours (manual incident triage and resolution). After: 5–20 minutes (AI-driven root cause analysis and automated remediation). Improvement: 90–95% reduction. Measurement: average elapsed time from incident detection to full resolution for P1 and P2 incidents.</w:t>
      </w:r>
    </w:p>
    <w:p>
      <w:pPr>
        <w:numPr>
          <w:ilvl w:val="0"/>
          <w:numId w:val="1"/>
        </w:numPr>
        <w:pStyle w:val="ListParagraph"/>
      </w:pPr>
      <w:r>
        <w:rPr>
          <w:b/>
        </w:rPr>
        <w:t xml:space="preserve">Operational Effort: </w:t>
      </w:r>
      <w:r>
        <w:t>Before: 15–25 FTEs for platform operations. After: 5–8 FTEs (augmented by AI agents). Improvement: 65–70% reduction. Measurement: full-time equivalent headcount dedicated to platform monitoring, administration, and incident response.</w:t>
      </w:r>
    </w:p>
    <w:p>
      <w:pPr>
        <w:pStyle w:val="Heading3"/>
      </w:pPr>
      <w:r>
        <w:rPr>
          <w:color w:val="0F4761"/>
          <w:sz w:val="28"/>
        </w:rPr>
        <w:t>Cost and Governance KPIs</w:t>
      </w:r>
    </w:p>
    <w:p>
      <w:pPr>
        <w:numPr>
          <w:ilvl w:val="0"/>
          <w:numId w:val="1"/>
        </w:numPr>
        <w:pStyle w:val="ListParagraph"/>
      </w:pPr>
      <w:r>
        <w:rPr>
          <w:b/>
        </w:rPr>
        <w:t xml:space="preserve">Compute Cost Efficiency: </w:t>
      </w:r>
      <w:r>
        <w:t>Before: 20–35% average cluster utilization (persistent, over-provisioned). After: 70–90% average utilization (auto-scaled, right-sized). Improvement: 25–45% cost reduction. Measurement: actual compute spend versus optimal spend based on workload requirements.</w:t>
      </w:r>
    </w:p>
    <w:p>
      <w:pPr>
        <w:numPr>
          <w:ilvl w:val="0"/>
          <w:numId w:val="1"/>
        </w:numPr>
        <w:pStyle w:val="ListParagraph"/>
      </w:pPr>
      <w:r>
        <w:rPr>
          <w:b/>
        </w:rPr>
        <w:t xml:space="preserve">Governance Compliance Score: </w:t>
      </w:r>
      <w:r>
        <w:t>Before: 60–75% (manual policy enforcement with gaps). After: 95–100% (automated policy enforcement via GovernanceOps). Improvement: 25–40 percentage point increase. Measurement: percentage of data assets, pipelines, and access controls conforming to defined governance policies.</w:t>
      </w:r>
    </w:p>
    <w:p>
      <w:pPr>
        <w:numPr>
          <w:ilvl w:val="0"/>
          <w:numId w:val="1"/>
        </w:numPr>
        <w:pStyle w:val="ListParagraph"/>
      </w:pPr>
      <w:r>
        <w:rPr>
          <w:b/>
        </w:rPr>
        <w:t xml:space="preserve">SLA Compliance: </w:t>
      </w:r>
      <w:r>
        <w:t>Before: 85–92% of SLAs met consistently. After: 99–99.9% of SLAs met. Improvement: 8–15 percentage point increase. Measurement: percentage of all defined service-level agreements (availability, performance, freshness) achieved over trailing 30-day period.</w:t>
      </w:r>
    </w:p>
    <w:p>
      <w:pPr>
        <w:pStyle w:val="Heading1"/>
      </w:pPr>
      <w:r>
        <w:rPr>
          <w:color w:val="0F4761"/>
          <w:sz w:val="40"/>
        </w:rPr>
        <w:t>4. Cross-Offering Value Themes</w:t>
      </w:r>
    </w:p>
    <w:p>
      <w:pPr>
        <w:spacing w:after="120"/>
      </w:pPr>
      <w:r>
        <w:t>Across all five Databricks offerings, four consistent value themes emerge that provide a unified narrative for Mastech Digital’s overall value proposition. These themes can be used to frame holistic conversations when multiple offerings are being considered, or when the engagement scope spans the entire data platform.</w:t>
      </w:r>
    </w:p>
    <w:p>
      <w:pPr>
        <w:pStyle w:val="Heading2"/>
      </w:pPr>
      <w:r>
        <w:rPr>
          <w:color w:val="0F4761"/>
          <w:sz w:val="32"/>
        </w:rPr>
        <w:t>4.1 Cost Reduction</w:t>
      </w:r>
    </w:p>
    <w:p>
      <w:pPr>
        <w:spacing w:after="120"/>
      </w:pPr>
      <w:r>
        <w:t>Every Mastech Digital offering delivers measurable cost reduction. Platform Modernization eliminates legacy licensing (40–60% TCO reduction). Data Engineering reduces headcount requirements (70% effort reduction). Analytics &amp; BI avoids BI team hiring (50% workload reduction). Data Science maximizes scientist productivity (60–80% effort reduction). Platform Operations optimizes infrastructure spend (25–45% cost reduction). The cumulative effect across all offerings can reduce total data platform spend by 50–70% while simultaneously increasing capability and throughput.</w:t>
      </w:r>
    </w:p>
    <w:p>
      <w:pPr>
        <w:pStyle w:val="Heading2"/>
      </w:pPr>
      <w:r>
        <w:rPr>
          <w:color w:val="0F4761"/>
          <w:sz w:val="32"/>
        </w:rPr>
        <w:t>4.2 Speed and Agility</w:t>
      </w:r>
    </w:p>
    <w:p>
      <w:pPr>
        <w:spacing w:after="120"/>
      </w:pPr>
      <w:r>
        <w:t>Speed improvements are the most viscerally impactful metrics in prospect conversations. Migrations that took 2 years now complete in 6–10 months. Pipelines that required weeks now deploy in days. Insights that took days now arrive in seconds. ML models that took months now reach production in weeks. Incidents that took hours to resolve now self-heal in minutes. These acceleration metrics paint a vivid picture of organizational transformation that resonates with both technical and business audiences.</w:t>
      </w:r>
    </w:p>
    <w:p>
      <w:pPr>
        <w:pStyle w:val="Heading2"/>
      </w:pPr>
      <w:r>
        <w:rPr>
          <w:color w:val="0F4761"/>
          <w:sz w:val="32"/>
        </w:rPr>
        <w:t>4.3 Quality and Reliability</w:t>
      </w:r>
    </w:p>
    <w:p>
      <w:pPr>
        <w:spacing w:after="120"/>
      </w:pPr>
      <w:r>
        <w:t>Quality improvements address the trust deficit that plagues many enterprise data environments. Automated data quality monitoring reduces incidents by 60%. AI-generated analytics queries achieve 95–99% accuracy. ML model monitoring ensures zero undetected drift. Platform availability reaches 99.9%+ with self-healing infrastructure. These quality metrics are particularly compelling for organizations that have experienced costly data quality incidents or compliance failures.</w:t>
      </w:r>
    </w:p>
    <w:p>
      <w:pPr>
        <w:pStyle w:val="Heading2"/>
      </w:pPr>
      <w:r>
        <w:rPr>
          <w:color w:val="0F4761"/>
          <w:sz w:val="32"/>
        </w:rPr>
        <w:t>4.4 Governance and Compliance</w:t>
      </w:r>
    </w:p>
    <w:p>
      <w:pPr>
        <w:spacing w:after="120"/>
      </w:pPr>
      <w:r>
        <w:t>In regulated industries—financial services, healthcare, life sciences, government—governance and compliance metrics often outweigh cost and speed considerations. Mastech Digital’s offerings deliver automated governance policy enforcement (95–100% compliance), complete data lineage and audit trails, automated access control management through Unity Catalog, and comprehensive monitoring and alerting for compliance violations. These capabilities enable organizations to meet regulatory requirements with lower effort and higher confidence than legacy approaches.</w:t>
      </w:r>
    </w:p>
    <w:p>
      <w:pPr>
        <w:pStyle w:val="Heading1"/>
      </w:pPr>
      <w:r>
        <w:rPr>
          <w:color w:val="0F4761"/>
          <w:sz w:val="40"/>
        </w:rPr>
        <w:t>5. Presenting Metrics to Prospects</w:t>
      </w:r>
    </w:p>
    <w:p>
      <w:pPr>
        <w:spacing w:after="120"/>
      </w:pPr>
      <w:r>
        <w:t>The effectiveness of benchmark metrics in sales conversations depends heavily on how they are presented. The following guidance helps Mastech Digital sales professionals maximize the impact of metrics in prospect engagements.</w:t>
      </w:r>
    </w:p>
    <w:p>
      <w:pPr>
        <w:pStyle w:val="Heading2"/>
      </w:pPr>
      <w:r>
        <w:rPr>
          <w:color w:val="0F4761"/>
          <w:sz w:val="32"/>
        </w:rPr>
        <w:t>5.1 The Before/After Framework</w:t>
      </w:r>
    </w:p>
    <w:p>
      <w:pPr>
        <w:spacing w:after="120"/>
      </w:pPr>
      <w:r>
        <w:t>Always present metrics as before/after comparisons rather than isolated numbers. The contrast between current-state pain and future-state improvement creates an emotional and logical case for action. Structure each metric as: “Organizations typically see [current state metric] improve to [future state metric], representing a [percentage] improvement.”</w:t>
      </w:r>
    </w:p>
    <w:p>
      <w:pPr>
        <w:numPr>
          <w:ilvl w:val="0"/>
          <w:numId w:val="1"/>
        </w:numPr>
        <w:pStyle w:val="ListParagraph"/>
      </w:pPr>
      <w:r>
        <w:rPr>
          <w:b/>
        </w:rPr>
        <w:t xml:space="preserve">Anchor to the Prospect’s Current State: </w:t>
      </w:r>
      <w:r>
        <w:t>During discovery, collect as many current-state metrics as possible (query times, team sizes, incident rates, platform costs). Then present benchmarks as achievable improvements from their specific baseline, making the value tangible and personal.</w:t>
      </w:r>
    </w:p>
    <w:p>
      <w:pPr>
        <w:numPr>
          <w:ilvl w:val="0"/>
          <w:numId w:val="1"/>
        </w:numPr>
        <w:pStyle w:val="ListParagraph"/>
      </w:pPr>
      <w:r>
        <w:rPr>
          <w:b/>
        </w:rPr>
        <w:t xml:space="preserve">Use Visual Contrast: </w:t>
      </w:r>
      <w:r>
        <w:t>In presentations, display before/after metrics side by side with clear visual contrast (red to green, large numbers reducing to small numbers). Visual impact reinforces the logical argument.</w:t>
      </w:r>
    </w:p>
    <w:p>
      <w:pPr>
        <w:pStyle w:val="Heading2"/>
      </w:pPr>
      <w:r>
        <w:rPr>
          <w:color w:val="0F4761"/>
          <w:sz w:val="32"/>
        </w:rPr>
        <w:t>5.2 Tailoring Metrics by Audience</w:t>
      </w:r>
    </w:p>
    <w:p>
      <w:pPr>
        <w:spacing w:after="120"/>
      </w:pPr>
      <w:r>
        <w:t>Different stakeholders within the same prospect organization respond to different metrics. Tailor your metric selection based on the audience in each meeting.</w:t>
      </w:r>
    </w:p>
    <w:p>
      <w:pPr>
        <w:numPr>
          <w:ilvl w:val="0"/>
          <w:numId w:val="1"/>
        </w:numPr>
        <w:pStyle w:val="ListParagraph"/>
      </w:pPr>
      <w:r>
        <w:rPr>
          <w:b/>
        </w:rPr>
        <w:t xml:space="preserve">C-Suite / Board Level: </w:t>
      </w:r>
      <w:r>
        <w:t>Lead with ROI percentages, payback periods, and strategic competitive advantage. Keep metrics at the aggregate level (e.g., “287% 3-year ROI with 14-month payback”) and tie them to enterprise strategic objectives.</w:t>
      </w:r>
    </w:p>
    <w:p>
      <w:pPr>
        <w:numPr>
          <w:ilvl w:val="0"/>
          <w:numId w:val="1"/>
        </w:numPr>
        <w:pStyle w:val="ListParagraph"/>
      </w:pPr>
      <w:r>
        <w:rPr>
          <w:b/>
        </w:rPr>
        <w:t xml:space="preserve">VP / Director Level: </w:t>
      </w:r>
      <w:r>
        <w:t>Present offering-specific metrics tied to their functional domain. A VP of Data Engineering cares about pipeline throughput and quality incidents. A VP of Analytics cares about adoption rates and time-to-insight. Match metrics to their daily challenges.</w:t>
      </w:r>
    </w:p>
    <w:p>
      <w:pPr>
        <w:numPr>
          <w:ilvl w:val="0"/>
          <w:numId w:val="1"/>
        </w:numPr>
        <w:pStyle w:val="ListParagraph"/>
      </w:pPr>
      <w:r>
        <w:rPr>
          <w:b/>
        </w:rPr>
        <w:t xml:space="preserve">Technical Leads / Architects: </w:t>
      </w:r>
      <w:r>
        <w:t>Provide detailed performance benchmarks with measurement methodologies. Technical audiences value specificity and transparency about how metrics were measured and what variables affect outcomes.</w:t>
      </w:r>
    </w:p>
    <w:p>
      <w:pPr>
        <w:pStyle w:val="Heading2"/>
      </w:pPr>
      <w:r>
        <w:rPr>
          <w:color w:val="0F4761"/>
          <w:sz w:val="32"/>
        </w:rPr>
        <w:t>5.3 Handling Skepticism</w:t>
      </w:r>
    </w:p>
    <w:p>
      <w:pPr>
        <w:spacing w:after="120"/>
      </w:pPr>
      <w:r>
        <w:t>Prospects will challenge bold metrics. Prepare for skepticism by acknowledging the range of outcomes, explaining the factors that influence results, and offering to validate projections through a proof-of-value (POV) engagement.</w:t>
      </w:r>
    </w:p>
    <w:p>
      <w:pPr>
        <w:numPr>
          <w:ilvl w:val="0"/>
          <w:numId w:val="1"/>
        </w:numPr>
        <w:pStyle w:val="ListParagraph"/>
      </w:pPr>
      <w:r>
        <w:rPr>
          <w:b/>
        </w:rPr>
        <w:t xml:space="preserve">Acknowledge Variability: </w:t>
      </w:r>
      <w:r>
        <w:t>State upfront that metrics represent ranges from multiple implementations, and that actual results depend on data complexity, organizational readiness, and implementation scope. This transparency builds trust.</w:t>
      </w:r>
    </w:p>
    <w:p>
      <w:pPr>
        <w:numPr>
          <w:ilvl w:val="0"/>
          <w:numId w:val="1"/>
        </w:numPr>
        <w:pStyle w:val="ListParagraph"/>
      </w:pPr>
      <w:r>
        <w:rPr>
          <w:b/>
        </w:rPr>
        <w:t xml:space="preserve">Offer Validation: </w:t>
      </w:r>
      <w:r>
        <w:t>Propose a focused POV that measures one or two key metrics in the prospect’s own environment. A successful POV converts skeptics into champions and provides prospect-specific data for the business case.</w:t>
      </w:r>
    </w:p>
    <w:p>
      <w:pPr>
        <w:numPr>
          <w:ilvl w:val="0"/>
          <w:numId w:val="1"/>
        </w:numPr>
        <w:pStyle w:val="ListParagraph"/>
      </w:pPr>
      <w:r>
        <w:rPr>
          <w:b/>
        </w:rPr>
        <w:t xml:space="preserve">Reference Without Naming: </w:t>
      </w:r>
      <w:r>
        <w:t>State that these metrics come from “enterprise implementations in [their industry] with comparable scale and complexity.” This provides credibility without requiring named customer references.</w:t>
      </w:r>
    </w:p>
    <w:p>
      <w:pPr>
        <w:pStyle w:val="Heading1"/>
      </w:pPr>
      <w:r>
        <w:rPr>
          <w:color w:val="0F4761"/>
          <w:sz w:val="40"/>
        </w:rPr>
        <w:t>6. Conclusion</w:t>
      </w:r>
    </w:p>
    <w:p>
      <w:pPr>
        <w:spacing w:after="120"/>
      </w:pPr>
      <w:r>
        <w:t>The Customer Success Metrics Playbook provides Mastech Digital sales teams with a comprehensive arsenal of validated, quantified benchmark KPIs for every Databricks offering in the portfolio. These metrics transform sales conversations from abstract capability discussions into concrete, evidence-based value narratives that resonate with economic buyers and technical evaluators alike.</w:t>
      </w:r>
    </w:p>
    <w:p>
      <w:pPr>
        <w:spacing w:after="120"/>
      </w:pPr>
      <w:r>
        <w:t>Consistent use of this playbook across all prospect engagements ensures that Mastech Digital presents a unified, credible, and compelling value story. The before/after benchmark format, combined with conservative framing and audience-tailored selection, creates an evidence-based sales approach that differentiates Mastech Digital from competitors who rely on vendor marketing materials and unsubstantiated claims.</w:t>
      </w:r>
    </w:p>
    <w:p>
      <w:pPr>
        <w:spacing w:after="120"/>
      </w:pPr>
      <w:r>
        <w:t>Sales professionals should treat this playbook as a living document, continuously enriched with metrics from new engagements. As Mastech Digital’s portfolio of Databricks delivery outcomes grows, so does the power and credibility of these benchmarks. For updates, additions, or assistance in tailoring metrics for specific prospects, engage the Mastech Digital Databricks Center of Excellence.</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rPr>
        <w:sz w:val="18"/>
      </w:rPr>
      <w:tab/>
    </w:r>
    <w:r>
      <w:t xml:space="preserve"> </w:t>
    </w:r>
    <w:r>
      <w:tab/>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