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C9B77" w14:textId="3A40A826" w:rsidR="00075F73" w:rsidRDefault="0017467E">
      <w:pPr>
        <w:jc w:val="center"/>
      </w:pPr>
      <w:r>
        <w:rPr>
          <w:noProof/>
        </w:rPr>
        <w:drawing>
          <wp:inline distT="0" distB="0" distL="0" distR="0" wp14:anchorId="5D7F92F8" wp14:editId="358F8E80">
            <wp:extent cx="2882250" cy="67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ch-logo-converted.png"/>
                    <pic:cNvPicPr/>
                  </pic:nvPicPr>
                  <pic:blipFill>
                    <a:blip r:embed="rId11"/>
                    <a:stretch>
                      <a:fillRect/>
                    </a:stretch>
                  </pic:blipFill>
                  <pic:spPr>
                    <a:xfrm>
                      <a:off x="0" y="0"/>
                      <a:ext cx="2890531" cy="675034"/>
                    </a:xfrm>
                    <a:prstGeom prst="rect">
                      <a:avLst/>
                    </a:prstGeom>
                  </pic:spPr>
                </pic:pic>
              </a:graphicData>
            </a:graphic>
          </wp:inline>
        </w:drawing>
      </w:r>
    </w:p>
    <w:p w14:paraId="1E74D815" w14:textId="77777777" w:rsidR="00075F73" w:rsidRDefault="00075F73">
      <w:pPr>
        <w:jc w:val="center"/>
      </w:pPr>
    </w:p>
    <w:p w14:paraId="03926BC8" w14:textId="77777777" w:rsidR="00075F73" w:rsidRDefault="00075F73">
      <w:pPr>
        <w:jc w:val="center"/>
      </w:pPr>
    </w:p>
    <w:p w14:paraId="233D9C71" w14:textId="77777777" w:rsidR="00075F73" w:rsidRDefault="00075F73">
      <w:pPr>
        <w:jc w:val="center"/>
      </w:pPr>
    </w:p>
    <w:p w14:paraId="0DA76B27" w14:textId="77777777" w:rsidR="00075F73" w:rsidRDefault="00075F73">
      <w:pPr>
        <w:jc w:val="center"/>
      </w:pPr>
    </w:p>
    <w:p w14:paraId="6AC6714F" w14:textId="77777777" w:rsidR="00075F73" w:rsidRDefault="00075F73">
      <w:pPr>
        <w:jc w:val="center"/>
      </w:pPr>
    </w:p>
    <w:p w14:paraId="59F5E21A" w14:textId="77777777" w:rsidR="00075F73" w:rsidRDefault="00000000">
      <w:pPr>
        <w:pStyle w:val="Title"/>
        <w:jc w:val="center"/>
      </w:pPr>
      <w:r>
        <w:rPr>
          <w:color w:val="0F4761"/>
          <w:sz w:val="72"/>
        </w:rPr>
        <w:t>Sales Collateral – Metrics</w:t>
      </w:r>
    </w:p>
    <w:p w14:paraId="48EFE9C5" w14:textId="77777777" w:rsidR="00075F73" w:rsidRDefault="00075F73">
      <w:pPr>
        <w:jc w:val="center"/>
      </w:pPr>
    </w:p>
    <w:p w14:paraId="36E7FABE" w14:textId="77777777" w:rsidR="00075F73" w:rsidRDefault="00000000">
      <w:pPr>
        <w:pStyle w:val="Title"/>
        <w:jc w:val="center"/>
      </w:pPr>
      <w:r>
        <w:rPr>
          <w:color w:val="0F4761"/>
          <w:sz w:val="72"/>
        </w:rPr>
        <w:t>ROI &amp; Business Case Builder</w:t>
      </w:r>
    </w:p>
    <w:p w14:paraId="7C8B0C22" w14:textId="77777777" w:rsidR="00075F73" w:rsidRDefault="00075F73">
      <w:pPr>
        <w:jc w:val="center"/>
      </w:pPr>
    </w:p>
    <w:p w14:paraId="7D5D6EA2" w14:textId="77777777" w:rsidR="00075F73" w:rsidRDefault="00000000">
      <w:pPr>
        <w:pStyle w:val="Subtitle"/>
        <w:jc w:val="center"/>
      </w:pPr>
      <w:r>
        <w:rPr>
          <w:color w:val="595959"/>
        </w:rPr>
        <w:t>Quantified Value Framework for Databricks Solutions</w:t>
      </w:r>
    </w:p>
    <w:p w14:paraId="046A277A" w14:textId="77777777" w:rsidR="00075F73" w:rsidRDefault="00075F73"/>
    <w:p w14:paraId="77793913" w14:textId="77777777" w:rsidR="00075F73" w:rsidRDefault="00075F73"/>
    <w:p w14:paraId="008F923B" w14:textId="77777777" w:rsidR="00075F73" w:rsidRDefault="00075F73"/>
    <w:p w14:paraId="1EE98C85" w14:textId="77777777" w:rsidR="00075F73" w:rsidRDefault="00075F73"/>
    <w:p w14:paraId="00C08ECE" w14:textId="77777777" w:rsidR="00075F73" w:rsidRDefault="00075F73"/>
    <w:p w14:paraId="7633348F" w14:textId="77777777" w:rsidR="00075F73" w:rsidRDefault="00075F73"/>
    <w:p w14:paraId="25745198" w14:textId="77777777" w:rsidR="00075F73" w:rsidRDefault="00000000">
      <w:pPr>
        <w:jc w:val="center"/>
      </w:pPr>
      <w:r>
        <w:rPr>
          <w:b/>
          <w:color w:val="0F4761"/>
          <w:sz w:val="28"/>
        </w:rPr>
        <w:t>Mastech Digital – Databricks Practice</w:t>
      </w:r>
    </w:p>
    <w:p w14:paraId="7A6AF062" w14:textId="77777777" w:rsidR="00075F73" w:rsidRDefault="00000000">
      <w:pPr>
        <w:jc w:val="center"/>
      </w:pPr>
      <w:r>
        <w:rPr>
          <w:color w:val="595959"/>
        </w:rPr>
        <w:t>2026</w:t>
      </w:r>
    </w:p>
    <w:p w14:paraId="7394DA55" w14:textId="77777777" w:rsidR="00075F73" w:rsidRDefault="00000000">
      <w:r>
        <w:br w:type="page"/>
      </w:r>
    </w:p>
    <w:p w14:paraId="3088DD1A" w14:textId="77777777" w:rsidR="00075F73" w:rsidRDefault="00000000">
      <w:pPr>
        <w:pStyle w:val="Heading1"/>
      </w:pPr>
      <w:r>
        <w:rPr>
          <w:color w:val="0F4761"/>
        </w:rPr>
        <w:lastRenderedPageBreak/>
        <w:t>1. Executive Summary</w:t>
      </w:r>
    </w:p>
    <w:p w14:paraId="0D96E96B" w14:textId="77777777" w:rsidR="00075F73" w:rsidRDefault="00000000" w:rsidP="00EA69A9">
      <w:pPr>
        <w:spacing w:after="120"/>
        <w:jc w:val="both"/>
      </w:pPr>
      <w:r>
        <w:t>In today’s data-driven economy, enterprises are under mounting pressure to demonstrate measurable return on every technology investment. Mastech Digital’s ROI &amp; Business Case Builder provides a rigorous, quantified framework for articulating the value of Databricks Lakehouse Platform adoption across five core solution offerings. This document equips sales teams, solution architects, and engagement managers with the analytical tools and benchmark data required to construct compelling, executive-ready business cases.</w:t>
      </w:r>
    </w:p>
    <w:p w14:paraId="71855F79" w14:textId="77777777" w:rsidR="00075F73" w:rsidRDefault="00000000" w:rsidP="00EA69A9">
      <w:pPr>
        <w:spacing w:after="120"/>
        <w:jc w:val="both"/>
      </w:pPr>
      <w:r>
        <w:t>The framework presented herein draws upon Mastech Digital’s extensive delivery experience across Fortune 500 engagements, industry-recognized benchmarks, and Databricks-certified performance data. Each offering is mapped to quantifiable value drivers—cost reduction, revenue acceleration, risk mitigation, and operational efficiency—enabling precise ROI calculations tailored to individual client contexts.</w:t>
      </w:r>
    </w:p>
    <w:p w14:paraId="24AC883D" w14:textId="77777777" w:rsidR="00075F73" w:rsidRDefault="00000000" w:rsidP="00EA69A9">
      <w:pPr>
        <w:spacing w:after="120"/>
        <w:jc w:val="both"/>
      </w:pPr>
      <w:r>
        <w:t>By leveraging this framework, Mastech Digital professionals can confidently present three-year total value projections, demonstrate payback timelines, and align Databricks investments with strategic business outcomes that resonate with C-suite decision-makers and economic buyers.</w:t>
      </w:r>
    </w:p>
    <w:p w14:paraId="09F35991" w14:textId="77777777" w:rsidR="00075F73" w:rsidRDefault="00000000">
      <w:pPr>
        <w:pStyle w:val="Heading1"/>
      </w:pPr>
      <w:r>
        <w:rPr>
          <w:color w:val="0F4761"/>
        </w:rPr>
        <w:t>2. ROI Framework Overview</w:t>
      </w:r>
    </w:p>
    <w:p w14:paraId="57BFB524" w14:textId="77777777" w:rsidR="00075F73" w:rsidRDefault="00000000" w:rsidP="00676EED">
      <w:pPr>
        <w:spacing w:after="120"/>
        <w:jc w:val="both"/>
      </w:pPr>
      <w:r>
        <w:t>Mastech Digital’s ROI framework is built on a four-pillar value model designed to capture the full spectrum of benefits delivered by Databricks modernization initiatives. This model goes beyond simple cost savings to encompass strategic value dimensions that drive long-term competitive advantage.</w:t>
      </w:r>
    </w:p>
    <w:p w14:paraId="7094F905" w14:textId="77777777" w:rsidR="00075F73" w:rsidRDefault="00000000" w:rsidP="00676EED">
      <w:pPr>
        <w:spacing w:after="120"/>
        <w:jc w:val="both"/>
      </w:pPr>
      <w:r>
        <w:t>The framework employs a structured methodology for calculating and presenting ROI to prospects and existing clients. Each calculation incorporates baseline metrics from the client’s current state, projected improvements based on Mastech’s delivery benchmarks, and conservative adjustment factors to ensure credibility and defensibility in executive presentations.</w:t>
      </w:r>
    </w:p>
    <w:p w14:paraId="1E2237F1" w14:textId="77777777" w:rsidR="00075F73" w:rsidRDefault="00000000">
      <w:pPr>
        <w:pStyle w:val="Heading2"/>
      </w:pPr>
      <w:r>
        <w:rPr>
          <w:color w:val="0F4761"/>
        </w:rPr>
        <w:t>Four Pillars of Value</w:t>
      </w:r>
    </w:p>
    <w:p w14:paraId="21C8ED99" w14:textId="77777777" w:rsidR="00075F73" w:rsidRDefault="00000000" w:rsidP="00443E31">
      <w:pPr>
        <w:pStyle w:val="ListParagraph"/>
        <w:numPr>
          <w:ilvl w:val="0"/>
          <w:numId w:val="1"/>
        </w:numPr>
        <w:jc w:val="both"/>
      </w:pPr>
      <w:r>
        <w:rPr>
          <w:b/>
        </w:rPr>
        <w:t xml:space="preserve">Cost Optimization: </w:t>
      </w:r>
      <w:r>
        <w:t>Direct reduction in infrastructure, licensing, operational, and talent costs. This pillar captures hard-dollar savings from eliminating legacy platform fees, reducing compute costs through serverless architecture, and consolidating toolchains into Databricks’ unified platform.</w:t>
      </w:r>
    </w:p>
    <w:p w14:paraId="344FC047" w14:textId="77777777" w:rsidR="00075F73" w:rsidRDefault="00000000" w:rsidP="00443E31">
      <w:pPr>
        <w:pStyle w:val="ListParagraph"/>
        <w:numPr>
          <w:ilvl w:val="0"/>
          <w:numId w:val="1"/>
        </w:numPr>
        <w:jc w:val="both"/>
      </w:pPr>
      <w:r>
        <w:rPr>
          <w:b/>
        </w:rPr>
        <w:t xml:space="preserve">Revenue Acceleration: </w:t>
      </w:r>
      <w:r>
        <w:t>Faster time-to-insight and time-to-market for data products, analytics, and AI/ML models. Quantified through reduced decision latency, accelerated product launches, and improved customer experience metrics that translate directly to top-line growth.</w:t>
      </w:r>
    </w:p>
    <w:p w14:paraId="72903862" w14:textId="77777777" w:rsidR="00075F73" w:rsidRDefault="00000000" w:rsidP="00443E31">
      <w:pPr>
        <w:pStyle w:val="ListParagraph"/>
        <w:numPr>
          <w:ilvl w:val="0"/>
          <w:numId w:val="1"/>
        </w:numPr>
        <w:jc w:val="both"/>
      </w:pPr>
      <w:r>
        <w:rPr>
          <w:b/>
        </w:rPr>
        <w:lastRenderedPageBreak/>
        <w:t xml:space="preserve">Risk Mitigation: </w:t>
      </w:r>
      <w:r>
        <w:t>Reduction in compliance exposure, data quality incidents, security vulnerabilities, and operational downtime. Valued through avoided costs of regulatory penalties, breach remediation, and revenue loss from system outages.</w:t>
      </w:r>
    </w:p>
    <w:p w14:paraId="21D00A94" w14:textId="77777777" w:rsidR="00075F73" w:rsidRDefault="00000000" w:rsidP="00443E31">
      <w:pPr>
        <w:pStyle w:val="ListParagraph"/>
        <w:numPr>
          <w:ilvl w:val="0"/>
          <w:numId w:val="1"/>
        </w:numPr>
        <w:jc w:val="both"/>
      </w:pPr>
      <w:r>
        <w:rPr>
          <w:b/>
        </w:rPr>
        <w:t xml:space="preserve">Operational Efficiency: </w:t>
      </w:r>
      <w:r>
        <w:t>Productivity gains across data engineering, analytics, data science, and platform operations teams. Measured through reduced manual effort, increased throughput per engineer, and elimination of repetitive operational tasks through AI-driven automation.</w:t>
      </w:r>
    </w:p>
    <w:p w14:paraId="453296B9" w14:textId="77777777" w:rsidR="00075F73" w:rsidRDefault="00000000">
      <w:pPr>
        <w:pStyle w:val="Heading2"/>
      </w:pPr>
      <w:r>
        <w:rPr>
          <w:color w:val="0F4761"/>
        </w:rPr>
        <w:t>ROI Calculation Methodology</w:t>
      </w:r>
    </w:p>
    <w:p w14:paraId="13A35E21" w14:textId="77777777" w:rsidR="00375E17" w:rsidRDefault="00000000" w:rsidP="00443E31">
      <w:pPr>
        <w:spacing w:after="120"/>
        <w:jc w:val="both"/>
      </w:pPr>
      <w:r>
        <w:t xml:space="preserve">The standard ROI calculation follows a net present value (NPV) approach with the following formula: </w:t>
      </w:r>
    </w:p>
    <w:p w14:paraId="4B0A05D4" w14:textId="77777777" w:rsidR="00846F00" w:rsidRDefault="00000000" w:rsidP="00443E31">
      <w:pPr>
        <w:spacing w:after="120"/>
        <w:jc w:val="both"/>
      </w:pPr>
      <w:r>
        <w:t xml:space="preserve">ROI = (Total Benefits – Total Costs) / Total Costs × 100%. </w:t>
      </w:r>
    </w:p>
    <w:p w14:paraId="40CD1192" w14:textId="22810784" w:rsidR="00075F73" w:rsidRDefault="00000000" w:rsidP="00443E31">
      <w:pPr>
        <w:spacing w:after="120"/>
        <w:jc w:val="both"/>
      </w:pPr>
      <w:r>
        <w:t>Benefits are projected over a 3-year horizon with Year 1 reflecting ramp-up, Year 2 reflecting full utilization, and Year 3 reflecting optimization and expansion. A discount rate of 8–10% is applied to account for the time value of money.</w:t>
      </w:r>
    </w:p>
    <w:p w14:paraId="1627EA21" w14:textId="77777777" w:rsidR="00075F73" w:rsidRDefault="00000000" w:rsidP="00443E31">
      <w:pPr>
        <w:spacing w:after="120"/>
        <w:jc w:val="both"/>
      </w:pPr>
      <w:r>
        <w:t>Total costs include the Mastech Digital engagement fees, Databricks platform licensing, internal change management investment, training and enablement, and a contingency buffer of 10–15%. This conservative approach ensures that presented business cases withstand scrutiny from CFOs and financial analysts.</w:t>
      </w:r>
    </w:p>
    <w:p w14:paraId="144DB089" w14:textId="77777777" w:rsidR="00075F73" w:rsidRDefault="00000000">
      <w:pPr>
        <w:pStyle w:val="Heading1"/>
      </w:pPr>
      <w:r>
        <w:rPr>
          <w:color w:val="0F4761"/>
        </w:rPr>
        <w:t>3. Value Drivers by Offering</w:t>
      </w:r>
    </w:p>
    <w:p w14:paraId="037A2242" w14:textId="77777777" w:rsidR="00075F73" w:rsidRDefault="00000000" w:rsidP="005805CA">
      <w:pPr>
        <w:spacing w:after="120"/>
        <w:jc w:val="both"/>
      </w:pPr>
      <w:r>
        <w:t>Each of Mastech Digital’s five Databricks solution offerings delivers a distinct set of quantifiable value drivers. The following subsections detail specific ROI metrics, benchmark ranges, and value articulation guidance for each offering.</w:t>
      </w:r>
    </w:p>
    <w:p w14:paraId="7F80F113" w14:textId="77777777" w:rsidR="00075F73" w:rsidRDefault="00000000">
      <w:pPr>
        <w:pStyle w:val="Heading2"/>
      </w:pPr>
      <w:r>
        <w:rPr>
          <w:color w:val="0F4761"/>
        </w:rPr>
        <w:t>3.1 AI-Native Platform Modernization</w:t>
      </w:r>
    </w:p>
    <w:p w14:paraId="10AD6176" w14:textId="77777777" w:rsidR="00075F73" w:rsidRDefault="00000000">
      <w:pPr>
        <w:spacing w:after="120"/>
      </w:pPr>
      <w:r>
        <w:t>The AI-Native Platform Modernization offering delivers transformative value by migrating enterprises from legacy data warehouse and ETL platforms—including Teradata, Hadoop, Informatica, Oracle Exadata, and SSIS—to the Databricks Lakehouse Platform. Mastech’s proprietary SLM (Small Language Model) automation accelerates migration timelines while ensuring 100% business logic fidelity.</w:t>
      </w:r>
    </w:p>
    <w:p w14:paraId="6680B392" w14:textId="77777777" w:rsidR="00075F73" w:rsidRDefault="00000000">
      <w:pPr>
        <w:spacing w:after="120"/>
      </w:pPr>
      <w:r>
        <w:t>The ROI case for Platform Modernization is anchored in three primary value drivers that have been validated across multiple enterprise-scale engagements. These metrics represent conservative estimates based on actual delivery outcomes.</w:t>
      </w:r>
    </w:p>
    <w:p w14:paraId="7275E1B8" w14:textId="77777777" w:rsidR="00075F73" w:rsidRDefault="00000000">
      <w:pPr>
        <w:pStyle w:val="ListParagraph"/>
        <w:numPr>
          <w:ilvl w:val="0"/>
          <w:numId w:val="1"/>
        </w:numPr>
      </w:pPr>
      <w:r>
        <w:rPr>
          <w:b/>
        </w:rPr>
        <w:t xml:space="preserve">Migration Speed – 50–70% Faster Timelines: </w:t>
      </w:r>
      <w:r>
        <w:t>SLM-powered automation reduces migration duration from typical 18–</w:t>
      </w:r>
      <w:proofErr w:type="gramStart"/>
      <w:r>
        <w:t>24 month</w:t>
      </w:r>
      <w:proofErr w:type="gramEnd"/>
      <w:r>
        <w:t xml:space="preserve"> manual programs to 6–10 months. Automated code conversion, schema translation, and validation testing </w:t>
      </w:r>
      <w:r>
        <w:lastRenderedPageBreak/>
        <w:t xml:space="preserve">eliminate the </w:t>
      </w:r>
      <w:proofErr w:type="spellStart"/>
      <w:r>
        <w:t>labor-intensive</w:t>
      </w:r>
      <w:proofErr w:type="spellEnd"/>
      <w:r>
        <w:t xml:space="preserve"> bottlenecks that plague traditional migration approaches. This acceleration translates to earlier realization of Databricks platform benefits and reduced parallel-run costs during the transition period.</w:t>
      </w:r>
    </w:p>
    <w:p w14:paraId="2F614F73" w14:textId="77777777" w:rsidR="00075F73" w:rsidRDefault="00000000">
      <w:pPr>
        <w:pStyle w:val="ListParagraph"/>
        <w:numPr>
          <w:ilvl w:val="0"/>
          <w:numId w:val="1"/>
        </w:numPr>
      </w:pPr>
      <w:r>
        <w:rPr>
          <w:b/>
        </w:rPr>
        <w:t xml:space="preserve">TCO Reduction – 40–60% Lower Total Cost of Ownership: </w:t>
      </w:r>
      <w:r>
        <w:t>Elimination of legacy licensing fees (Teradata nodes at $50K–$200K/year each, Informatica PowerCenter at $150K–$500K/year), combined with Databricks’ pay-as-you-go serverless compute model, delivers dramatic cost savings. Infrastructure consolidation from 5–7 separate platforms to a single unified Lakehouse further reduces operational overhead.</w:t>
      </w:r>
    </w:p>
    <w:p w14:paraId="4331AF24" w14:textId="77777777" w:rsidR="00075F73" w:rsidRDefault="00000000">
      <w:pPr>
        <w:pStyle w:val="ListParagraph"/>
        <w:numPr>
          <w:ilvl w:val="0"/>
          <w:numId w:val="1"/>
        </w:numPr>
      </w:pPr>
      <w:r>
        <w:rPr>
          <w:b/>
        </w:rPr>
        <w:t xml:space="preserve">Performance Improvement – 3–5x Query Performance: </w:t>
      </w:r>
      <w:r>
        <w:t>Databricks Photon engine and Delta Lake optimization deliver 3–5x faster query execution compared to legacy Teradata and Hadoop Hive queries. Complex analytical workloads that previously required hours complete in minutes, enabling real-time decision-making and dramatically improving business user satisfaction.</w:t>
      </w:r>
    </w:p>
    <w:p w14:paraId="6418D30A" w14:textId="77777777" w:rsidR="00075F73" w:rsidRDefault="00000000">
      <w:pPr>
        <w:pStyle w:val="Heading2"/>
      </w:pPr>
      <w:r>
        <w:rPr>
          <w:color w:val="0F4761"/>
        </w:rPr>
        <w:t>3.2 Autonomous Data Engineering</w:t>
      </w:r>
    </w:p>
    <w:p w14:paraId="2765141B" w14:textId="77777777" w:rsidR="00075F73" w:rsidRDefault="00000000">
      <w:pPr>
        <w:spacing w:after="120"/>
      </w:pPr>
      <w:r>
        <w:t>The Autonomous Data Engineering offering deploys AI agent-based orchestration across the entire data pipeline lifecycle. Specialized agents—Discovery, Ingestion, Governance, and Quality—work in concert to automate data engineering workflows that traditionally require large teams of skilled engineers.</w:t>
      </w:r>
    </w:p>
    <w:p w14:paraId="6BC111BE" w14:textId="77777777" w:rsidR="00075F73" w:rsidRDefault="00000000">
      <w:pPr>
        <w:spacing w:after="120"/>
      </w:pPr>
      <w:r>
        <w:t>This offering’s ROI is driven by dramatic reductions in engineering effort, significant improvement in data quality outcomes, and transformative increases in pipeline throughput. These value drivers are especially compelling for organizations struggling with data engineering talent scarcity and escalating pipeline complexity.</w:t>
      </w:r>
    </w:p>
    <w:p w14:paraId="68D2A03B" w14:textId="77777777" w:rsidR="00075F73" w:rsidRDefault="00000000">
      <w:pPr>
        <w:pStyle w:val="ListParagraph"/>
        <w:numPr>
          <w:ilvl w:val="0"/>
          <w:numId w:val="1"/>
        </w:numPr>
      </w:pPr>
      <w:r>
        <w:rPr>
          <w:b/>
        </w:rPr>
        <w:t xml:space="preserve">Engineering Effort Reduction – 70% Less Manual Work: </w:t>
      </w:r>
      <w:r>
        <w:t xml:space="preserve">AI agents automate pipeline discovery, code generation, testing, and monitoring tasks that consume </w:t>
      </w:r>
      <w:proofErr w:type="gramStart"/>
      <w:r>
        <w:t>the majority of</w:t>
      </w:r>
      <w:proofErr w:type="gramEnd"/>
      <w:r>
        <w:t xml:space="preserve"> data engineering cycles. A team of 10 data engineers can achieve the throughput previously requiring 30+ engineers, enabling reallocation of talent to higher-value innovation work. At average fully-loaded costs of $180K–$220K per engineer, this translates to $3.6M–$4.4M in annual savings for a mid-size data team.</w:t>
      </w:r>
    </w:p>
    <w:p w14:paraId="7359DB29" w14:textId="77777777" w:rsidR="00075F73" w:rsidRDefault="00000000">
      <w:pPr>
        <w:pStyle w:val="ListParagraph"/>
        <w:numPr>
          <w:ilvl w:val="0"/>
          <w:numId w:val="1"/>
        </w:numPr>
      </w:pPr>
      <w:r>
        <w:rPr>
          <w:b/>
        </w:rPr>
        <w:t xml:space="preserve">Data Quality Improvement – 60% Fewer Incidents: </w:t>
      </w:r>
      <w:r>
        <w:t>The Quality Agent provides continuous, AI-driven data quality monitoring and automated remediation. Production data quality incidents—which typically cost $10K–$50K per event in downstream impact—are reduced by 60%, resulting in both direct cost savings and improved trust in data assets across the organization.</w:t>
      </w:r>
    </w:p>
    <w:p w14:paraId="5939AB08" w14:textId="77777777" w:rsidR="00075F73" w:rsidRDefault="00000000">
      <w:pPr>
        <w:pStyle w:val="ListParagraph"/>
        <w:numPr>
          <w:ilvl w:val="0"/>
          <w:numId w:val="1"/>
        </w:numPr>
      </w:pPr>
      <w:r>
        <w:rPr>
          <w:b/>
        </w:rPr>
        <w:t xml:space="preserve">Pipeline Throughput – 5–10x Increase: </w:t>
      </w:r>
      <w:r>
        <w:t xml:space="preserve">Autonomous pipeline orchestration enables 5–10x more data pipelines to be built, deployed, and maintained with the same team size. This throughput acceleration directly supports business </w:t>
      </w:r>
      <w:r>
        <w:lastRenderedPageBreak/>
        <w:t>initiatives that are blocked by data availability, reducing the backlog of unfulfilled data requests by 80% within the first year of deployment.</w:t>
      </w:r>
    </w:p>
    <w:p w14:paraId="1463248E" w14:textId="77777777" w:rsidR="00075F73" w:rsidRDefault="00000000">
      <w:pPr>
        <w:pStyle w:val="Heading2"/>
      </w:pPr>
      <w:r>
        <w:rPr>
          <w:color w:val="0F4761"/>
        </w:rPr>
        <w:t>3.3 Autonomous Analytics &amp; BI</w:t>
      </w:r>
    </w:p>
    <w:p w14:paraId="3A7E1C79" w14:textId="77777777" w:rsidR="00075F73" w:rsidRDefault="00000000">
      <w:pPr>
        <w:spacing w:after="120"/>
      </w:pPr>
      <w:r>
        <w:t>The Autonomous Analytics &amp; BI offering revolutionizes how organizations consume and act on data through natural language analytics and AI-powered self-service BI. The solution deploys a Chief Analytics Agent supported by specialized Query Generation and Visualization agents that democratize data access across the enterprise.</w:t>
      </w:r>
    </w:p>
    <w:p w14:paraId="13173357" w14:textId="77777777" w:rsidR="00075F73" w:rsidRDefault="00000000">
      <w:pPr>
        <w:spacing w:after="120"/>
      </w:pPr>
      <w:r>
        <w:t xml:space="preserve">The ROI narrative for this offering </w:t>
      </w:r>
      <w:proofErr w:type="spellStart"/>
      <w:r>
        <w:t>centers</w:t>
      </w:r>
      <w:proofErr w:type="spellEnd"/>
      <w:r>
        <w:t xml:space="preserve"> on dramatically accelerated insight delivery, massive expansion of the analytics user base, and significant reduction in BI team workload. These metrics are particularly impactful when presented to business leaders who experience the frustration of slow, bottlenecked analytics delivery.</w:t>
      </w:r>
    </w:p>
    <w:p w14:paraId="7C193ADD" w14:textId="77777777" w:rsidR="00075F73" w:rsidRDefault="00000000">
      <w:pPr>
        <w:pStyle w:val="ListParagraph"/>
        <w:numPr>
          <w:ilvl w:val="0"/>
          <w:numId w:val="1"/>
        </w:numPr>
      </w:pPr>
      <w:r>
        <w:rPr>
          <w:b/>
        </w:rPr>
        <w:t xml:space="preserve">Insight Velocity – 100x Faster Time-to-Insight: </w:t>
      </w:r>
      <w:r>
        <w:t>Natural language query generation eliminates the traditional workflow of submitting ad-hoc report requests to BI teams, waiting days or weeks for delivery, and iterating through multiple revision cycles. Business users can ask questions in plain English and receive visualized answers in seconds. This 100x acceleration transforms decision-making from data-constrained to data-empowered, with measurable improvements in decision quality and speed.</w:t>
      </w:r>
    </w:p>
    <w:p w14:paraId="6EF41B35" w14:textId="77777777" w:rsidR="00075F73" w:rsidRDefault="00000000">
      <w:pPr>
        <w:pStyle w:val="ListParagraph"/>
        <w:numPr>
          <w:ilvl w:val="0"/>
          <w:numId w:val="1"/>
        </w:numPr>
      </w:pPr>
      <w:r>
        <w:rPr>
          <w:b/>
        </w:rPr>
        <w:t xml:space="preserve">User Adoption – 90% Business User Self-Service (from 20%): </w:t>
      </w:r>
      <w:r>
        <w:t xml:space="preserve">Traditional BI platforms achieve only 15–25% adoption rates due to complexity barriers. AI-powered natural language interfaces raise effective adoption to 80–90% by removing the SQL and tool proficiency requirements that exclude </w:t>
      </w:r>
      <w:proofErr w:type="gramStart"/>
      <w:r>
        <w:t>the majority of</w:t>
      </w:r>
      <w:proofErr w:type="gramEnd"/>
      <w:r>
        <w:t xml:space="preserve"> business users. This expansion means 4–5x more employees are making data-informed decisions, driving measurable improvements in operational efficiency and revenue outcomes across every department.</w:t>
      </w:r>
    </w:p>
    <w:p w14:paraId="25C4A1E3" w14:textId="77777777" w:rsidR="00075F73" w:rsidRDefault="00000000">
      <w:pPr>
        <w:pStyle w:val="ListParagraph"/>
        <w:numPr>
          <w:ilvl w:val="0"/>
          <w:numId w:val="1"/>
        </w:numPr>
      </w:pPr>
      <w:r>
        <w:rPr>
          <w:b/>
        </w:rPr>
        <w:t xml:space="preserve">BI Team Efficiency – 50% Workload Reduction: </w:t>
      </w:r>
      <w:r>
        <w:t>By shifting ad-hoc reporting to self-service AI agents, the central BI team’s workload is reduced by 50%, freeing analysts to focus on strategic projects, complex modeling, and proactive insight generation. Organizations can avoid hiring 3–5 additional BI analysts per year, representing $450K–$1M in avoided annual talent costs.</w:t>
      </w:r>
    </w:p>
    <w:p w14:paraId="03834F05" w14:textId="77777777" w:rsidR="00075F73" w:rsidRDefault="00000000">
      <w:pPr>
        <w:pStyle w:val="Heading2"/>
      </w:pPr>
      <w:r>
        <w:rPr>
          <w:color w:val="0F4761"/>
        </w:rPr>
        <w:t>3.4 Autonomous Data Science</w:t>
      </w:r>
    </w:p>
    <w:p w14:paraId="5F7B2637" w14:textId="77777777" w:rsidR="00075F73" w:rsidRDefault="00000000">
      <w:pPr>
        <w:spacing w:after="120"/>
      </w:pPr>
      <w:r>
        <w:t xml:space="preserve">The Autonomous Data Science offering automates the end-to-end machine learning lifecycle through specialized AI agents for Data Preparation, Feature Engineering, </w:t>
      </w:r>
      <w:proofErr w:type="spellStart"/>
      <w:r>
        <w:t>AutoML</w:t>
      </w:r>
      <w:proofErr w:type="spellEnd"/>
      <w:r>
        <w:t>, Model Deployment, and Model Monitoring. This comprehensive automation transforms the economics of ML/AI initiatives from high-risk, long-cycle programs to agile, repeatable operations.</w:t>
      </w:r>
    </w:p>
    <w:p w14:paraId="1275FD0D" w14:textId="77777777" w:rsidR="00075F73" w:rsidRDefault="00000000">
      <w:pPr>
        <w:spacing w:after="120"/>
      </w:pPr>
      <w:r>
        <w:t xml:space="preserve">Data science ROI is measured across three dimensions: effort reduction in the ML lifecycle, dramatic increase in model deployment rates, and compression of </w:t>
      </w:r>
      <w:r>
        <w:lastRenderedPageBreak/>
        <w:t>development timelines. These metrics directly address the “model graveyard” problem that plagues most enterprise AI programs, where fewer than 20% of developed models ever reach production.</w:t>
      </w:r>
    </w:p>
    <w:p w14:paraId="537992DE" w14:textId="77777777" w:rsidR="00075F73" w:rsidRDefault="00000000">
      <w:pPr>
        <w:pStyle w:val="ListParagraph"/>
        <w:numPr>
          <w:ilvl w:val="0"/>
          <w:numId w:val="1"/>
        </w:numPr>
      </w:pPr>
      <w:r>
        <w:rPr>
          <w:b/>
        </w:rPr>
        <w:t xml:space="preserve">ML Lifecycle Effort – 60–80% Reduction: </w:t>
      </w:r>
      <w:r>
        <w:t>Automated data preparation, feature engineering, and model selection reduce the manual effort required per ML project by 60–80%. Data scientists spend 80% of their time on data wrangling in traditional workflows; AI agents eliminate this bottleneck, enabling scientists to focus on model design, business problem framing, and result interpretation. At average data scientist fully-loaded costs of $200K–$280K, this translates to $2.4M–$4.5M in annual productivity gains for a 20-person data science team.</w:t>
      </w:r>
    </w:p>
    <w:p w14:paraId="7A0442DC" w14:textId="77777777" w:rsidR="00075F73" w:rsidRDefault="00000000">
      <w:pPr>
        <w:pStyle w:val="ListParagraph"/>
        <w:numPr>
          <w:ilvl w:val="0"/>
          <w:numId w:val="1"/>
        </w:numPr>
      </w:pPr>
      <w:r>
        <w:rPr>
          <w:b/>
        </w:rPr>
        <w:t xml:space="preserve">Model Deployment Rate – 3x More Models in Production: </w:t>
      </w:r>
      <w:r>
        <w:t>Automated deployment pipelines, integrated monitoring, and one-click rollback capabilities increase the percentage of models reaching production from a typical 15–20% to 50–60%. Each production model generates measurable business value through improved predictions, optimized operations, or enhanced customer experiences, with average per-model value of $500K–$2M annually in enterprise contexts.</w:t>
      </w:r>
    </w:p>
    <w:p w14:paraId="1085E790" w14:textId="77777777" w:rsidR="00075F73" w:rsidRDefault="00000000">
      <w:pPr>
        <w:pStyle w:val="ListParagraph"/>
        <w:numPr>
          <w:ilvl w:val="0"/>
          <w:numId w:val="1"/>
        </w:numPr>
      </w:pPr>
      <w:r>
        <w:rPr>
          <w:b/>
        </w:rPr>
        <w:t xml:space="preserve">Development Timeline – From Months to Days: </w:t>
      </w:r>
      <w:r>
        <w:t xml:space="preserve">End-to-end ML project timelines compress from 3–6 months to 1–2 weeks for standard use cases. </w:t>
      </w:r>
      <w:proofErr w:type="spellStart"/>
      <w:r>
        <w:t>AutoML</w:t>
      </w:r>
      <w:proofErr w:type="spellEnd"/>
      <w:r>
        <w:t xml:space="preserve"> agents evaluate hundreds of model architectures and hyperparameter combinations in hours rather than weeks. This acceleration enables organizations to pursue 5–10x more ML use cases per year, dramatically expanding the value captured from their data assets.</w:t>
      </w:r>
    </w:p>
    <w:p w14:paraId="7C1139AE" w14:textId="77777777" w:rsidR="00075F73" w:rsidRDefault="00000000">
      <w:pPr>
        <w:pStyle w:val="Heading2"/>
      </w:pPr>
      <w:r>
        <w:rPr>
          <w:color w:val="0F4761"/>
        </w:rPr>
        <w:t>3.5 Autonomous Platform Operations</w:t>
      </w:r>
    </w:p>
    <w:p w14:paraId="3BDEB528" w14:textId="77777777" w:rsidR="00075F73" w:rsidRDefault="00000000">
      <w:pPr>
        <w:spacing w:after="120"/>
      </w:pPr>
      <w:r>
        <w:t xml:space="preserve">The Autonomous Platform Operations offering deploys AI-driven infrastructure management through Mastech’s proprietary 8-dimensional framework: </w:t>
      </w:r>
      <w:proofErr w:type="spellStart"/>
      <w:r>
        <w:t>InfraOps</w:t>
      </w:r>
      <w:proofErr w:type="spellEnd"/>
      <w:r>
        <w:t xml:space="preserve">, DataOps, </w:t>
      </w:r>
      <w:proofErr w:type="spellStart"/>
      <w:r>
        <w:t>PipelineOps</w:t>
      </w:r>
      <w:proofErr w:type="spellEnd"/>
      <w:r>
        <w:t xml:space="preserve">, </w:t>
      </w:r>
      <w:proofErr w:type="spellStart"/>
      <w:r>
        <w:t>GovernanceOps</w:t>
      </w:r>
      <w:proofErr w:type="spellEnd"/>
      <w:r>
        <w:t xml:space="preserve">, </w:t>
      </w:r>
      <w:proofErr w:type="spellStart"/>
      <w:r>
        <w:t>MLOps</w:t>
      </w:r>
      <w:proofErr w:type="spellEnd"/>
      <w:r>
        <w:t xml:space="preserve">, </w:t>
      </w:r>
      <w:proofErr w:type="spellStart"/>
      <w:r>
        <w:t>AIAgentOps</w:t>
      </w:r>
      <w:proofErr w:type="spellEnd"/>
      <w:r>
        <w:t xml:space="preserve">, </w:t>
      </w:r>
      <w:proofErr w:type="spellStart"/>
      <w:r>
        <w:t>CostOps</w:t>
      </w:r>
      <w:proofErr w:type="spellEnd"/>
      <w:r>
        <w:t xml:space="preserve">, and </w:t>
      </w:r>
      <w:proofErr w:type="spellStart"/>
      <w:r>
        <w:t>ExperienceOps</w:t>
      </w:r>
      <w:proofErr w:type="spellEnd"/>
      <w:r>
        <w:t>. This comprehensive automation layer transforms platform operations from reactive firefighting to proactive, self-healing infrastructure management.</w:t>
      </w:r>
    </w:p>
    <w:p w14:paraId="69D89D90" w14:textId="77777777" w:rsidR="00075F73" w:rsidRDefault="00000000">
      <w:pPr>
        <w:spacing w:after="120"/>
      </w:pPr>
      <w:r>
        <w:t>Platform Operations ROI is driven by operational efficiency gains, cost optimization through intelligent resource management, and near-perfect SLA compliance. These metrics are compelling for CTOs and VP-level infrastructure leaders who bear the burden of escalating operational complexity.</w:t>
      </w:r>
    </w:p>
    <w:p w14:paraId="36219BF1" w14:textId="77777777" w:rsidR="00075F73" w:rsidRDefault="00000000">
      <w:pPr>
        <w:pStyle w:val="ListParagraph"/>
        <w:numPr>
          <w:ilvl w:val="0"/>
          <w:numId w:val="1"/>
        </w:numPr>
      </w:pPr>
      <w:r>
        <w:rPr>
          <w:b/>
        </w:rPr>
        <w:t xml:space="preserve">Operational Efficiency – 70% Improvement: </w:t>
      </w:r>
      <w:r>
        <w:t>AI-driven automation across all eight operational dimensions reduces manual platform management effort by 70%. Automated incident detection, root cause analysis, and self-healing capabilities eliminate the need for 24/7 on-call rotations and reduce mean time to resolution (MTTR) from hours to minutes. A platform operations team of 15 can deliver the service quality previously requiring 40+ engineers.</w:t>
      </w:r>
    </w:p>
    <w:p w14:paraId="42684557" w14:textId="77777777" w:rsidR="00075F73" w:rsidRDefault="00000000">
      <w:pPr>
        <w:pStyle w:val="ListParagraph"/>
        <w:numPr>
          <w:ilvl w:val="0"/>
          <w:numId w:val="1"/>
        </w:numPr>
      </w:pPr>
      <w:r>
        <w:rPr>
          <w:b/>
        </w:rPr>
        <w:lastRenderedPageBreak/>
        <w:t xml:space="preserve">Infrastructure Cost – 25–45% Reduction: </w:t>
      </w:r>
      <w:proofErr w:type="spellStart"/>
      <w:r>
        <w:t>CostOps</w:t>
      </w:r>
      <w:proofErr w:type="spellEnd"/>
      <w:r>
        <w:t xml:space="preserve"> agents continuously </w:t>
      </w:r>
      <w:proofErr w:type="spellStart"/>
      <w:r>
        <w:t>analyze</w:t>
      </w:r>
      <w:proofErr w:type="spellEnd"/>
      <w:r>
        <w:t xml:space="preserve"> compute utilization, storage patterns, and workload scheduling to optimize resource allocation. Automated cluster right-sizing, spot instance management, and intelligent auto-scaling reduce Databricks compute spend by 25–45%. For organizations with $2M–$5M in annual Databricks consumption, this translates to $500K–$2.25M in annual savings.</w:t>
      </w:r>
    </w:p>
    <w:p w14:paraId="3538FDD0" w14:textId="77777777" w:rsidR="00075F73" w:rsidRDefault="00000000">
      <w:pPr>
        <w:pStyle w:val="ListParagraph"/>
        <w:numPr>
          <w:ilvl w:val="0"/>
          <w:numId w:val="1"/>
        </w:numPr>
      </w:pPr>
      <w:r>
        <w:rPr>
          <w:b/>
        </w:rPr>
        <w:t xml:space="preserve">SLA Compliance – 99.9% Achievement: </w:t>
      </w:r>
      <w:r>
        <w:t>Proactive monitoring, predictive failure detection, and automated remediation enable consistent 99.9% SLA compliance across all platform services. This reliability improvement eliminates the revenue impact of unplanned downtime, which averages $5,600 per minute for enterprise data platforms, and strengthens stakeholder confidence in the Databricks platform investment.</w:t>
      </w:r>
    </w:p>
    <w:p w14:paraId="666DDAEB" w14:textId="77777777" w:rsidR="00075F73" w:rsidRDefault="00000000">
      <w:pPr>
        <w:pStyle w:val="Heading1"/>
      </w:pPr>
      <w:r>
        <w:rPr>
          <w:color w:val="0F4761"/>
        </w:rPr>
        <w:t>4. Business Case Template</w:t>
      </w:r>
    </w:p>
    <w:p w14:paraId="1F7458B8" w14:textId="77777777" w:rsidR="00075F73" w:rsidRDefault="00000000" w:rsidP="00092A2D">
      <w:pPr>
        <w:spacing w:after="120"/>
        <w:jc w:val="both"/>
      </w:pPr>
      <w:r>
        <w:t>The following structured framework provides a repeatable template for constructing client-specific business cases. Sales teams and solution architects should customize each section with data gathered during discovery and assessment phases. The template is designed to withstand CFO-level scrutiny and align with enterprise capital expenditure approval processes.</w:t>
      </w:r>
    </w:p>
    <w:p w14:paraId="4D7C3B2C" w14:textId="77777777" w:rsidR="00075F73" w:rsidRDefault="00000000" w:rsidP="00092A2D">
      <w:pPr>
        <w:spacing w:after="120"/>
        <w:jc w:val="both"/>
      </w:pPr>
      <w:r>
        <w:t>Each business case should be tailored to the client’s industry context, competitive landscape, and strategic priorities. The framework below provides the structural backbone; Mastech Digital’s engagement teams should populate it with client-specific data points gathered during the qualification and discovery stages of the sales cycle.</w:t>
      </w:r>
    </w:p>
    <w:p w14:paraId="31F6E6E5" w14:textId="77777777" w:rsidR="00075F73" w:rsidRDefault="00000000">
      <w:pPr>
        <w:pStyle w:val="Heading2"/>
      </w:pPr>
      <w:r>
        <w:rPr>
          <w:color w:val="0F4761"/>
        </w:rPr>
        <w:t>4.1 Current State Cost Analysis</w:t>
      </w:r>
    </w:p>
    <w:p w14:paraId="6804A5D9" w14:textId="77777777" w:rsidR="00075F73" w:rsidRDefault="00000000" w:rsidP="00017AC4">
      <w:pPr>
        <w:spacing w:after="120"/>
        <w:jc w:val="both"/>
      </w:pPr>
      <w:r>
        <w:t>Document the client’s existing technology spend across all categories that will be impacted by the Databricks migration. This section establishes the baseline against which all ROI calculations are measured.</w:t>
      </w:r>
    </w:p>
    <w:p w14:paraId="155B5AB0" w14:textId="77777777" w:rsidR="00075F73" w:rsidRDefault="00000000" w:rsidP="00017AC4">
      <w:pPr>
        <w:pStyle w:val="ListParagraph"/>
        <w:numPr>
          <w:ilvl w:val="0"/>
          <w:numId w:val="27"/>
        </w:numPr>
        <w:jc w:val="both"/>
      </w:pPr>
      <w:r>
        <w:rPr>
          <w:b/>
        </w:rPr>
        <w:t xml:space="preserve">Legacy Platform Licensing: </w:t>
      </w:r>
      <w:r>
        <w:t>Annual licensing fees for all platforms being replaced or consolidated (e.g., Teradata node licensing, Informatica PowerCenter, Cloudera Enterprise, SAS Analytics, Oracle Exadata). Include maintenance and support contract costs.</w:t>
      </w:r>
    </w:p>
    <w:p w14:paraId="6CB2D825" w14:textId="77777777" w:rsidR="00075F73" w:rsidRDefault="00000000" w:rsidP="00017AC4">
      <w:pPr>
        <w:pStyle w:val="ListParagraph"/>
        <w:numPr>
          <w:ilvl w:val="0"/>
          <w:numId w:val="27"/>
        </w:numPr>
        <w:jc w:val="both"/>
      </w:pPr>
      <w:r>
        <w:rPr>
          <w:b/>
        </w:rPr>
        <w:t xml:space="preserve">Infrastructure Costs: </w:t>
      </w:r>
      <w:r>
        <w:t xml:space="preserve">On-premises hardware, data </w:t>
      </w:r>
      <w:proofErr w:type="spellStart"/>
      <w:r>
        <w:t>center</w:t>
      </w:r>
      <w:proofErr w:type="spellEnd"/>
      <w:r>
        <w:t xml:space="preserve"> allocation, network infrastructure, storage systems, and disaster recovery infrastructure. For cloud-hosted legacy platforms, include all IaaS/PaaS charges attributed to data and analytics workloads.</w:t>
      </w:r>
    </w:p>
    <w:p w14:paraId="241AE4DA" w14:textId="77777777" w:rsidR="00075F73" w:rsidRDefault="00000000" w:rsidP="00017AC4">
      <w:pPr>
        <w:pStyle w:val="ListParagraph"/>
        <w:numPr>
          <w:ilvl w:val="0"/>
          <w:numId w:val="27"/>
        </w:numPr>
        <w:jc w:val="both"/>
      </w:pPr>
      <w:r>
        <w:rPr>
          <w:b/>
        </w:rPr>
        <w:t xml:space="preserve">Operational Personnel: </w:t>
      </w:r>
      <w:proofErr w:type="gramStart"/>
      <w:r>
        <w:t>Fully-loaded</w:t>
      </w:r>
      <w:proofErr w:type="gramEnd"/>
      <w:r>
        <w:t xml:space="preserve"> costs for all personnel involved in operating, maintaining, and supporting current data platforms. Include DBAs, ETL developers, data engineers, platform administrators, and on-call support staff.</w:t>
      </w:r>
    </w:p>
    <w:p w14:paraId="36CA37C4" w14:textId="77777777" w:rsidR="00075F73" w:rsidRDefault="00000000" w:rsidP="00017AC4">
      <w:pPr>
        <w:pStyle w:val="ListParagraph"/>
        <w:numPr>
          <w:ilvl w:val="0"/>
          <w:numId w:val="27"/>
        </w:numPr>
        <w:jc w:val="both"/>
      </w:pPr>
      <w:r>
        <w:rPr>
          <w:b/>
        </w:rPr>
        <w:lastRenderedPageBreak/>
        <w:t xml:space="preserve">Opportunity Costs: </w:t>
      </w:r>
      <w:r>
        <w:t>Estimated value of delayed initiatives, unfulfilled data requests, and competitive disadvantage attributable to current platform limitations. While harder to quantify, these costs often represent the largest component of the total cost picture.</w:t>
      </w:r>
    </w:p>
    <w:p w14:paraId="06CA395E" w14:textId="77777777" w:rsidR="00075F73" w:rsidRDefault="00000000">
      <w:pPr>
        <w:pStyle w:val="Heading2"/>
      </w:pPr>
      <w:r>
        <w:rPr>
          <w:color w:val="0F4761"/>
        </w:rPr>
        <w:t>4.2 Target State Benefits</w:t>
      </w:r>
    </w:p>
    <w:p w14:paraId="1707727D" w14:textId="77777777" w:rsidR="00075F73" w:rsidRDefault="00000000" w:rsidP="006571FC">
      <w:pPr>
        <w:spacing w:after="120"/>
        <w:jc w:val="both"/>
      </w:pPr>
      <w:r>
        <w:t>Project the quantified benefits of the Databricks Lakehouse implementation, categorized by benefit type and mapped to the specific Mastech offerings being proposed.</w:t>
      </w:r>
    </w:p>
    <w:p w14:paraId="13BFE6C0" w14:textId="77777777" w:rsidR="00075F73" w:rsidRDefault="00000000" w:rsidP="00F72F9C">
      <w:pPr>
        <w:pStyle w:val="ListParagraph"/>
        <w:numPr>
          <w:ilvl w:val="0"/>
          <w:numId w:val="26"/>
        </w:numPr>
        <w:jc w:val="both"/>
      </w:pPr>
      <w:r>
        <w:rPr>
          <w:b/>
        </w:rPr>
        <w:t xml:space="preserve">Hard-Dollar Savings: </w:t>
      </w:r>
      <w:r>
        <w:t>Direct cost reductions in licensing, infrastructure, and personnel that can be verified through budget line items and financial statements. Apply the offering-specific metrics from Section 3 with conservative adjustment factors (0.7x–0.85x of benchmark ranges).</w:t>
      </w:r>
    </w:p>
    <w:p w14:paraId="44041636" w14:textId="77777777" w:rsidR="00075F73" w:rsidRDefault="00000000" w:rsidP="00F72F9C">
      <w:pPr>
        <w:pStyle w:val="ListParagraph"/>
        <w:numPr>
          <w:ilvl w:val="0"/>
          <w:numId w:val="26"/>
        </w:numPr>
        <w:jc w:val="both"/>
      </w:pPr>
      <w:r>
        <w:rPr>
          <w:b/>
        </w:rPr>
        <w:t xml:space="preserve">Productivity Gains: </w:t>
      </w:r>
      <w:r>
        <w:t xml:space="preserve">Quantified throughput improvements and effort reductions for data engineering, analytics, data science, and operations teams. Convert to dollar values using </w:t>
      </w:r>
      <w:proofErr w:type="gramStart"/>
      <w:r>
        <w:t>fully-loaded</w:t>
      </w:r>
      <w:proofErr w:type="gramEnd"/>
      <w:r>
        <w:t xml:space="preserve"> personnel costs.</w:t>
      </w:r>
    </w:p>
    <w:p w14:paraId="6BD4F3E0" w14:textId="77777777" w:rsidR="00075F73" w:rsidRDefault="00000000" w:rsidP="00F72F9C">
      <w:pPr>
        <w:pStyle w:val="ListParagraph"/>
        <w:numPr>
          <w:ilvl w:val="0"/>
          <w:numId w:val="26"/>
        </w:numPr>
        <w:jc w:val="both"/>
      </w:pPr>
      <w:r>
        <w:rPr>
          <w:b/>
        </w:rPr>
        <w:t xml:space="preserve">Revenue Impact: </w:t>
      </w:r>
      <w:r>
        <w:t>Faster time-to-market for data products, improved customer analytics, and enhanced decision-making capabilities that drive measurable revenue growth. Use conservative estimates (1–3% of influenced revenue) for credibility.</w:t>
      </w:r>
    </w:p>
    <w:p w14:paraId="639CC58B" w14:textId="77777777" w:rsidR="00075F73" w:rsidRDefault="00000000" w:rsidP="00F72F9C">
      <w:pPr>
        <w:pStyle w:val="ListParagraph"/>
        <w:numPr>
          <w:ilvl w:val="0"/>
          <w:numId w:val="26"/>
        </w:numPr>
        <w:jc w:val="both"/>
      </w:pPr>
      <w:r>
        <w:rPr>
          <w:b/>
        </w:rPr>
        <w:t xml:space="preserve">Risk Reduction: </w:t>
      </w:r>
      <w:r>
        <w:t>Avoided costs from improved compliance posture, reduced data quality incidents, and increased platform reliability. Quantify using historical incident costs and industry benchmark data for regulatory penalties.</w:t>
      </w:r>
    </w:p>
    <w:p w14:paraId="1053585D" w14:textId="77777777" w:rsidR="00075F73" w:rsidRDefault="00000000">
      <w:pPr>
        <w:pStyle w:val="Heading2"/>
      </w:pPr>
      <w:r>
        <w:rPr>
          <w:color w:val="0F4761"/>
        </w:rPr>
        <w:t>4.3 Net Present Value (NPV) Calculation</w:t>
      </w:r>
    </w:p>
    <w:p w14:paraId="389A85C9" w14:textId="77777777" w:rsidR="00615ACF" w:rsidRDefault="00000000" w:rsidP="008930B0">
      <w:pPr>
        <w:spacing w:after="120"/>
        <w:jc w:val="both"/>
      </w:pPr>
      <w:r>
        <w:t xml:space="preserve">Calculate the NPV of the proposed investment using a 3-year projection horizon with the following parameters. </w:t>
      </w:r>
    </w:p>
    <w:p w14:paraId="1979A17A" w14:textId="77777777" w:rsidR="00615ACF" w:rsidRDefault="00000000" w:rsidP="007F10A5">
      <w:pPr>
        <w:pStyle w:val="ListParagraph"/>
        <w:numPr>
          <w:ilvl w:val="0"/>
          <w:numId w:val="25"/>
        </w:numPr>
        <w:spacing w:after="120"/>
        <w:jc w:val="both"/>
      </w:pPr>
      <w:r>
        <w:t xml:space="preserve">Year 0 represents the initial investment (migration/implementation costs). </w:t>
      </w:r>
    </w:p>
    <w:p w14:paraId="7DE7CF4A" w14:textId="77777777" w:rsidR="00615ACF" w:rsidRDefault="00000000" w:rsidP="007F10A5">
      <w:pPr>
        <w:pStyle w:val="ListParagraph"/>
        <w:numPr>
          <w:ilvl w:val="0"/>
          <w:numId w:val="25"/>
        </w:numPr>
        <w:spacing w:after="120"/>
        <w:jc w:val="both"/>
      </w:pPr>
      <w:r>
        <w:t xml:space="preserve">Year 1 reflects 40–60% benefit realization during ramp-up. </w:t>
      </w:r>
    </w:p>
    <w:p w14:paraId="7642BD68" w14:textId="77777777" w:rsidR="00615ACF" w:rsidRDefault="00000000" w:rsidP="007F10A5">
      <w:pPr>
        <w:pStyle w:val="ListParagraph"/>
        <w:numPr>
          <w:ilvl w:val="0"/>
          <w:numId w:val="25"/>
        </w:numPr>
        <w:spacing w:after="120"/>
        <w:jc w:val="both"/>
      </w:pPr>
      <w:r>
        <w:t xml:space="preserve">Year 2 reflects 80–100% benefit realization at steady state. </w:t>
      </w:r>
    </w:p>
    <w:p w14:paraId="6871ACB8" w14:textId="41084B6F" w:rsidR="00075F73" w:rsidRDefault="00000000" w:rsidP="007F10A5">
      <w:pPr>
        <w:pStyle w:val="ListParagraph"/>
        <w:numPr>
          <w:ilvl w:val="0"/>
          <w:numId w:val="25"/>
        </w:numPr>
        <w:spacing w:after="120"/>
        <w:jc w:val="both"/>
      </w:pPr>
      <w:r>
        <w:t>Year 3 reflects 100–120% benefit realization with optimization gains. Apply a discount rate of 8–10% aligned with the client’s weighted average cost of capital (WACC).</w:t>
      </w:r>
    </w:p>
    <w:p w14:paraId="6BFBECE0" w14:textId="77777777" w:rsidR="00075F73" w:rsidRDefault="00000000">
      <w:pPr>
        <w:pStyle w:val="Heading2"/>
      </w:pPr>
      <w:r>
        <w:rPr>
          <w:color w:val="0F4761"/>
        </w:rPr>
        <w:t>4.4 Payback Period</w:t>
      </w:r>
    </w:p>
    <w:p w14:paraId="3ABB4C01" w14:textId="77777777" w:rsidR="00075F73" w:rsidRDefault="00000000" w:rsidP="008930B0">
      <w:pPr>
        <w:spacing w:after="120"/>
        <w:jc w:val="both"/>
      </w:pPr>
      <w:r>
        <w:t>Calculate the time required for cumulative benefits to equal cumulative costs (including the initial migration investment). Mastech Digital’s Databricks engagements typically achieve payback within 9–18 months, depending on the scope and complexity of the modernization program. Present the payback period graphically alongside cumulative benefit curves to maximize executive impact.</w:t>
      </w:r>
    </w:p>
    <w:p w14:paraId="3E5F9B4E" w14:textId="77777777" w:rsidR="00075F73" w:rsidRDefault="00000000">
      <w:pPr>
        <w:pStyle w:val="Heading1"/>
      </w:pPr>
      <w:r>
        <w:rPr>
          <w:color w:val="0F4761"/>
        </w:rPr>
        <w:lastRenderedPageBreak/>
        <w:t>5. Sample ROI Calculation</w:t>
      </w:r>
    </w:p>
    <w:p w14:paraId="74D5CA1D" w14:textId="77777777" w:rsidR="00075F73" w:rsidRDefault="00000000" w:rsidP="008E2CEC">
      <w:pPr>
        <w:spacing w:after="120"/>
        <w:jc w:val="both"/>
      </w:pPr>
      <w:r>
        <w:t>The following worked example illustrates a complete 3-year ROI calculation for a representative enterprise client migrating from a legacy Teradata/Informatica stack to Databricks Lakehouse with Mastech Digital’s AI-Native Platform Modernization and Autonomous Data Engineering offerings.</w:t>
      </w:r>
    </w:p>
    <w:p w14:paraId="48B79F04" w14:textId="77777777" w:rsidR="00075F73" w:rsidRDefault="00000000">
      <w:pPr>
        <w:pStyle w:val="Heading2"/>
      </w:pPr>
      <w:r>
        <w:rPr>
          <w:color w:val="0F4761"/>
        </w:rPr>
        <w:t>Client Profile</w:t>
      </w:r>
    </w:p>
    <w:p w14:paraId="475C2642" w14:textId="77777777" w:rsidR="00075F73" w:rsidRDefault="00000000" w:rsidP="00BC23FE">
      <w:pPr>
        <w:pStyle w:val="ListParagraph"/>
        <w:numPr>
          <w:ilvl w:val="0"/>
          <w:numId w:val="20"/>
        </w:numPr>
      </w:pPr>
      <w:r>
        <w:rPr>
          <w:b/>
        </w:rPr>
        <w:t xml:space="preserve">Industry: </w:t>
      </w:r>
      <w:r>
        <w:t>Financial Services (mid-market bank, $15B in assets)</w:t>
      </w:r>
    </w:p>
    <w:p w14:paraId="35348898" w14:textId="77777777" w:rsidR="00075F73" w:rsidRDefault="00000000" w:rsidP="00BC23FE">
      <w:pPr>
        <w:pStyle w:val="ListParagraph"/>
        <w:numPr>
          <w:ilvl w:val="0"/>
          <w:numId w:val="20"/>
        </w:numPr>
      </w:pPr>
      <w:r>
        <w:rPr>
          <w:b/>
        </w:rPr>
        <w:t xml:space="preserve">Current Platform: </w:t>
      </w:r>
      <w:r>
        <w:t>Teradata EDW (12 nodes), Informatica PowerCenter, Hadoop cluster (50 nodes), SAS Analytics</w:t>
      </w:r>
    </w:p>
    <w:p w14:paraId="3B690829" w14:textId="77777777" w:rsidR="00075F73" w:rsidRDefault="00000000" w:rsidP="00BC23FE">
      <w:pPr>
        <w:pStyle w:val="ListParagraph"/>
        <w:numPr>
          <w:ilvl w:val="0"/>
          <w:numId w:val="20"/>
        </w:numPr>
      </w:pPr>
      <w:r>
        <w:rPr>
          <w:b/>
        </w:rPr>
        <w:t xml:space="preserve">Data Team: </w:t>
      </w:r>
      <w:r>
        <w:t>45 data professionals (12 engineers, 8 DBAs, 10 analysts, 8 data scientists, 7 platform ops)</w:t>
      </w:r>
    </w:p>
    <w:p w14:paraId="476AD7AC" w14:textId="77777777" w:rsidR="00075F73" w:rsidRDefault="00000000" w:rsidP="00BC23FE">
      <w:pPr>
        <w:pStyle w:val="ListParagraph"/>
        <w:numPr>
          <w:ilvl w:val="0"/>
          <w:numId w:val="20"/>
        </w:numPr>
      </w:pPr>
      <w:r>
        <w:rPr>
          <w:b/>
        </w:rPr>
        <w:t xml:space="preserve">Annual Legacy Spend: </w:t>
      </w:r>
      <w:r>
        <w:t>$8.2M (licensing $3.1M, infrastructure $2.4M, personnel $2.7M)</w:t>
      </w:r>
    </w:p>
    <w:p w14:paraId="68E0C5F6" w14:textId="77777777" w:rsidR="00075F73" w:rsidRDefault="00000000">
      <w:pPr>
        <w:pStyle w:val="Heading2"/>
      </w:pPr>
      <w:r>
        <w:rPr>
          <w:color w:val="0F4761"/>
        </w:rPr>
        <w:t>3-Year Projected Savings</w:t>
      </w:r>
    </w:p>
    <w:p w14:paraId="12175E77" w14:textId="77777777" w:rsidR="00075F73" w:rsidRDefault="00000000">
      <w:pPr>
        <w:pStyle w:val="Heading3"/>
      </w:pPr>
      <w:r>
        <w:rPr>
          <w:color w:val="0F4761"/>
        </w:rPr>
        <w:t>Year 1 – Migration &amp; Ramp-Up</w:t>
      </w:r>
    </w:p>
    <w:p w14:paraId="258FA485" w14:textId="77777777" w:rsidR="00075F73" w:rsidRDefault="00000000" w:rsidP="00F6488A">
      <w:pPr>
        <w:pStyle w:val="ListParagraph"/>
        <w:numPr>
          <w:ilvl w:val="0"/>
          <w:numId w:val="21"/>
        </w:numPr>
      </w:pPr>
      <w:r>
        <w:rPr>
          <w:b/>
        </w:rPr>
        <w:t xml:space="preserve">Investment: </w:t>
      </w:r>
      <w:r>
        <w:t>$2.8M (Mastech engagement $1.6M, Databricks licensing $0.8M, internal change management $0.4M)</w:t>
      </w:r>
    </w:p>
    <w:p w14:paraId="12A73904" w14:textId="77777777" w:rsidR="00075F73" w:rsidRDefault="00000000" w:rsidP="00F6488A">
      <w:pPr>
        <w:pStyle w:val="ListParagraph"/>
        <w:numPr>
          <w:ilvl w:val="0"/>
          <w:numId w:val="21"/>
        </w:numPr>
      </w:pPr>
      <w:r>
        <w:rPr>
          <w:b/>
        </w:rPr>
        <w:t xml:space="preserve">Legacy Cost Reduction: </w:t>
      </w:r>
      <w:r>
        <w:t>$1.2M (partial Teradata decommission, Informatica license sunset)</w:t>
      </w:r>
    </w:p>
    <w:p w14:paraId="344318DC" w14:textId="77777777" w:rsidR="00075F73" w:rsidRDefault="00000000" w:rsidP="00F6488A">
      <w:pPr>
        <w:pStyle w:val="ListParagraph"/>
        <w:numPr>
          <w:ilvl w:val="0"/>
          <w:numId w:val="21"/>
        </w:numPr>
      </w:pPr>
      <w:r>
        <w:rPr>
          <w:b/>
        </w:rPr>
        <w:t xml:space="preserve">Productivity Gain: </w:t>
      </w:r>
      <w:r>
        <w:t>$0.6M (30% engineering effort reduction during transition)</w:t>
      </w:r>
    </w:p>
    <w:p w14:paraId="0D1D7190" w14:textId="77777777" w:rsidR="00075F73" w:rsidRDefault="00000000" w:rsidP="00F6488A">
      <w:pPr>
        <w:pStyle w:val="ListParagraph"/>
        <w:numPr>
          <w:ilvl w:val="0"/>
          <w:numId w:val="21"/>
        </w:numPr>
      </w:pPr>
      <w:r>
        <w:rPr>
          <w:b/>
        </w:rPr>
        <w:t xml:space="preserve">Net Year 1: </w:t>
      </w:r>
      <w:r>
        <w:t>–$1.0M (investment exceeds savings during ramp-up)</w:t>
      </w:r>
    </w:p>
    <w:p w14:paraId="3D9A5949" w14:textId="77777777" w:rsidR="00075F73" w:rsidRDefault="00000000">
      <w:pPr>
        <w:pStyle w:val="Heading3"/>
      </w:pPr>
      <w:r>
        <w:rPr>
          <w:color w:val="0F4761"/>
        </w:rPr>
        <w:t>Year 2 – Full Utilization</w:t>
      </w:r>
    </w:p>
    <w:p w14:paraId="6560134B" w14:textId="77777777" w:rsidR="00075F73" w:rsidRDefault="00000000" w:rsidP="00B21EE5">
      <w:pPr>
        <w:pStyle w:val="ListParagraph"/>
        <w:numPr>
          <w:ilvl w:val="0"/>
          <w:numId w:val="22"/>
        </w:numPr>
      </w:pPr>
      <w:r>
        <w:rPr>
          <w:b/>
        </w:rPr>
        <w:t xml:space="preserve">Ongoing Costs: </w:t>
      </w:r>
      <w:r>
        <w:t>$1.4M (Databricks licensing $1.0M, Mastech managed services $0.4M)</w:t>
      </w:r>
    </w:p>
    <w:p w14:paraId="31D112EB" w14:textId="77777777" w:rsidR="00075F73" w:rsidRDefault="00000000" w:rsidP="00B21EE5">
      <w:pPr>
        <w:pStyle w:val="ListParagraph"/>
        <w:numPr>
          <w:ilvl w:val="0"/>
          <w:numId w:val="22"/>
        </w:numPr>
      </w:pPr>
      <w:r>
        <w:rPr>
          <w:b/>
        </w:rPr>
        <w:t xml:space="preserve">Legacy Cost Elimination: </w:t>
      </w:r>
      <w:r>
        <w:t>$4.9M (full Teradata/Informatica/Hadoop decommission)</w:t>
      </w:r>
    </w:p>
    <w:p w14:paraId="3CCF7FB6" w14:textId="77777777" w:rsidR="00075F73" w:rsidRDefault="00000000" w:rsidP="00B21EE5">
      <w:pPr>
        <w:pStyle w:val="ListParagraph"/>
        <w:numPr>
          <w:ilvl w:val="0"/>
          <w:numId w:val="22"/>
        </w:numPr>
      </w:pPr>
      <w:r>
        <w:rPr>
          <w:b/>
        </w:rPr>
        <w:t xml:space="preserve">Productivity Gain: </w:t>
      </w:r>
      <w:r>
        <w:t>$1.8M (70% engineering effort reduction, 50% BI workload reduction)</w:t>
      </w:r>
    </w:p>
    <w:p w14:paraId="7F6347C0" w14:textId="77777777" w:rsidR="00075F73" w:rsidRDefault="00000000" w:rsidP="00B21EE5">
      <w:pPr>
        <w:pStyle w:val="ListParagraph"/>
        <w:numPr>
          <w:ilvl w:val="0"/>
          <w:numId w:val="22"/>
        </w:numPr>
      </w:pPr>
      <w:r>
        <w:rPr>
          <w:b/>
        </w:rPr>
        <w:t xml:space="preserve">Net Year 2: </w:t>
      </w:r>
      <w:r>
        <w:t>+$5.3M</w:t>
      </w:r>
    </w:p>
    <w:p w14:paraId="1EC47A67" w14:textId="77777777" w:rsidR="00075F73" w:rsidRDefault="00000000">
      <w:pPr>
        <w:pStyle w:val="Heading3"/>
      </w:pPr>
      <w:r>
        <w:rPr>
          <w:color w:val="0F4761"/>
        </w:rPr>
        <w:t>Year 3 – Optimization &amp; Expansion</w:t>
      </w:r>
    </w:p>
    <w:p w14:paraId="72987963" w14:textId="77777777" w:rsidR="00075F73" w:rsidRDefault="00000000" w:rsidP="00AF2929">
      <w:pPr>
        <w:pStyle w:val="ListParagraph"/>
        <w:numPr>
          <w:ilvl w:val="0"/>
          <w:numId w:val="23"/>
        </w:numPr>
      </w:pPr>
      <w:r>
        <w:rPr>
          <w:b/>
        </w:rPr>
        <w:t xml:space="preserve">Ongoing Costs: </w:t>
      </w:r>
      <w:r>
        <w:t>$1.2M (Databricks licensing $0.9M, optimized; Mastech support $0.3M)</w:t>
      </w:r>
    </w:p>
    <w:p w14:paraId="5E75BF1A" w14:textId="77777777" w:rsidR="00075F73" w:rsidRDefault="00000000" w:rsidP="00AF2929">
      <w:pPr>
        <w:pStyle w:val="ListParagraph"/>
        <w:numPr>
          <w:ilvl w:val="0"/>
          <w:numId w:val="23"/>
        </w:numPr>
      </w:pPr>
      <w:r>
        <w:rPr>
          <w:b/>
        </w:rPr>
        <w:t xml:space="preserve">Sustained Savings: </w:t>
      </w:r>
      <w:r>
        <w:t>$4.9M (continued legacy cost avoidance)</w:t>
      </w:r>
    </w:p>
    <w:p w14:paraId="66313743" w14:textId="77777777" w:rsidR="00075F73" w:rsidRDefault="00000000" w:rsidP="00AF2929">
      <w:pPr>
        <w:pStyle w:val="ListParagraph"/>
        <w:numPr>
          <w:ilvl w:val="0"/>
          <w:numId w:val="23"/>
        </w:numPr>
      </w:pPr>
      <w:r>
        <w:rPr>
          <w:b/>
        </w:rPr>
        <w:t xml:space="preserve">Additional Value: </w:t>
      </w:r>
      <w:r>
        <w:t>$2.1M (new ML models in production, advanced analytics revenue impact)</w:t>
      </w:r>
    </w:p>
    <w:p w14:paraId="0921F7FC" w14:textId="77777777" w:rsidR="00075F73" w:rsidRDefault="00000000" w:rsidP="00AF2929">
      <w:pPr>
        <w:pStyle w:val="ListParagraph"/>
        <w:numPr>
          <w:ilvl w:val="0"/>
          <w:numId w:val="23"/>
        </w:numPr>
      </w:pPr>
      <w:r>
        <w:rPr>
          <w:b/>
        </w:rPr>
        <w:lastRenderedPageBreak/>
        <w:t xml:space="preserve">Net Year 3: </w:t>
      </w:r>
      <w:r>
        <w:t>+$5.8M</w:t>
      </w:r>
    </w:p>
    <w:p w14:paraId="77332E93" w14:textId="77777777" w:rsidR="00075F73" w:rsidRDefault="00000000">
      <w:pPr>
        <w:pStyle w:val="Heading2"/>
      </w:pPr>
      <w:r>
        <w:rPr>
          <w:color w:val="0F4761"/>
        </w:rPr>
        <w:t>Summary Metrics</w:t>
      </w:r>
    </w:p>
    <w:p w14:paraId="018EA7CE" w14:textId="77777777" w:rsidR="00075F73" w:rsidRDefault="00000000" w:rsidP="00AF2929">
      <w:pPr>
        <w:pStyle w:val="ListParagraph"/>
        <w:numPr>
          <w:ilvl w:val="0"/>
          <w:numId w:val="24"/>
        </w:numPr>
      </w:pPr>
      <w:r>
        <w:rPr>
          <w:b/>
        </w:rPr>
        <w:t xml:space="preserve">3-Year Total Investment: </w:t>
      </w:r>
      <w:r>
        <w:t>$5.4M</w:t>
      </w:r>
    </w:p>
    <w:p w14:paraId="58C83A9D" w14:textId="77777777" w:rsidR="00075F73" w:rsidRDefault="00000000" w:rsidP="00AF2929">
      <w:pPr>
        <w:pStyle w:val="ListParagraph"/>
        <w:numPr>
          <w:ilvl w:val="0"/>
          <w:numId w:val="24"/>
        </w:numPr>
      </w:pPr>
      <w:r>
        <w:rPr>
          <w:b/>
        </w:rPr>
        <w:t xml:space="preserve">3-Year Total Benefits: </w:t>
      </w:r>
      <w:r>
        <w:t>$15.5M</w:t>
      </w:r>
    </w:p>
    <w:p w14:paraId="147D7C65" w14:textId="77777777" w:rsidR="00075F73" w:rsidRDefault="00000000" w:rsidP="00AF2929">
      <w:pPr>
        <w:pStyle w:val="ListParagraph"/>
        <w:numPr>
          <w:ilvl w:val="0"/>
          <w:numId w:val="24"/>
        </w:numPr>
      </w:pPr>
      <w:r>
        <w:rPr>
          <w:b/>
        </w:rPr>
        <w:t xml:space="preserve">3-Year Net Value: </w:t>
      </w:r>
      <w:r>
        <w:t>$10.1M</w:t>
      </w:r>
    </w:p>
    <w:p w14:paraId="2D19E817" w14:textId="77777777" w:rsidR="00075F73" w:rsidRDefault="00000000" w:rsidP="00AF2929">
      <w:pPr>
        <w:pStyle w:val="ListParagraph"/>
        <w:numPr>
          <w:ilvl w:val="0"/>
          <w:numId w:val="24"/>
        </w:numPr>
      </w:pPr>
      <w:r>
        <w:rPr>
          <w:b/>
        </w:rPr>
        <w:t xml:space="preserve">ROI: </w:t>
      </w:r>
      <w:r>
        <w:t>287%</w:t>
      </w:r>
    </w:p>
    <w:p w14:paraId="55E97313" w14:textId="77777777" w:rsidR="00075F73" w:rsidRDefault="00000000" w:rsidP="00AF2929">
      <w:pPr>
        <w:pStyle w:val="ListParagraph"/>
        <w:numPr>
          <w:ilvl w:val="0"/>
          <w:numId w:val="24"/>
        </w:numPr>
      </w:pPr>
      <w:r>
        <w:rPr>
          <w:b/>
        </w:rPr>
        <w:t xml:space="preserve">Payback Period: </w:t>
      </w:r>
      <w:r>
        <w:t>14 months</w:t>
      </w:r>
    </w:p>
    <w:p w14:paraId="77F08CFF" w14:textId="77777777" w:rsidR="00075F73" w:rsidRDefault="00000000" w:rsidP="00AF2929">
      <w:pPr>
        <w:pStyle w:val="ListParagraph"/>
        <w:numPr>
          <w:ilvl w:val="0"/>
          <w:numId w:val="24"/>
        </w:numPr>
      </w:pPr>
      <w:r>
        <w:rPr>
          <w:b/>
        </w:rPr>
        <w:t xml:space="preserve">NPV (at 9% discount rate): </w:t>
      </w:r>
      <w:r>
        <w:t>$8.6M</w:t>
      </w:r>
    </w:p>
    <w:p w14:paraId="625DFE75" w14:textId="77777777" w:rsidR="00075F73" w:rsidRDefault="00000000" w:rsidP="00463202">
      <w:pPr>
        <w:spacing w:after="120"/>
        <w:jc w:val="both"/>
      </w:pPr>
      <w:r>
        <w:t>This sample calculation demonstrates the compelling economics of Databricks modernization with Mastech Digital. The 287% ROI and 14-month payback period provide a strong foundation for executive approval, while the conservative assumptions (0.8x adjustment factor applied to all benchmarks) ensure defensibility under financial scrutiny.</w:t>
      </w:r>
    </w:p>
    <w:p w14:paraId="4AF7B707" w14:textId="77777777" w:rsidR="00075F73" w:rsidRDefault="00000000">
      <w:pPr>
        <w:pStyle w:val="Heading1"/>
      </w:pPr>
      <w:r>
        <w:rPr>
          <w:color w:val="0F4761"/>
        </w:rPr>
        <w:t>6. Conclusion</w:t>
      </w:r>
    </w:p>
    <w:p w14:paraId="1C35704C" w14:textId="77777777" w:rsidR="00075F73" w:rsidRDefault="00000000" w:rsidP="00463202">
      <w:pPr>
        <w:spacing w:after="120"/>
        <w:jc w:val="both"/>
      </w:pPr>
      <w:r>
        <w:t>Mastech Digital’s ROI &amp; Business Case Builder provides a comprehensive, battle-tested framework for quantifying the value of Databricks Lakehouse Platform adoption. By combining offering-specific benchmark metrics with a structured business case methodology, sales teams can present compelling, credible investment narratives that resonate with economic buyers and accelerate deal closure.</w:t>
      </w:r>
    </w:p>
    <w:p w14:paraId="4921C48A" w14:textId="77777777" w:rsidR="00075F73" w:rsidRDefault="00000000" w:rsidP="00463202">
      <w:pPr>
        <w:spacing w:after="120"/>
        <w:jc w:val="both"/>
      </w:pPr>
      <w:r>
        <w:t>The value drivers documented in this framework—spanning cost optimization, revenue acceleration, risk mitigation, and operational efficiency—have been validated across Mastech Digital’s portfolio of enterprise Databricks engagements. When combined with client-specific discovery data, these benchmarks enable the construction of business cases that consistently demonstrate 200–400% ROI with 9–</w:t>
      </w:r>
      <w:proofErr w:type="gramStart"/>
      <w:r>
        <w:t>18 month</w:t>
      </w:r>
      <w:proofErr w:type="gramEnd"/>
      <w:r>
        <w:t xml:space="preserve"> payback periods.</w:t>
      </w:r>
    </w:p>
    <w:p w14:paraId="2F7DAD10" w14:textId="77777777" w:rsidR="00075F73" w:rsidRDefault="00000000" w:rsidP="00463202">
      <w:pPr>
        <w:spacing w:after="120"/>
        <w:jc w:val="both"/>
      </w:pPr>
      <w:r>
        <w:t xml:space="preserve">Sales professionals are encouraged to use this framework as a living tool, continuously updating benchmark data with the latest delivery outcomes and refining ROI calculations based on evolving market conditions. For assistance in constructing client-specific business cases, engage the Mastech Digital Databricks </w:t>
      </w:r>
      <w:proofErr w:type="spellStart"/>
      <w:r>
        <w:t>Center</w:t>
      </w:r>
      <w:proofErr w:type="spellEnd"/>
      <w:r>
        <w:t xml:space="preserve"> of Excellence.</w:t>
      </w:r>
    </w:p>
    <w:sectPr w:rsidR="00075F73"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81564" w14:textId="77777777" w:rsidR="00EA334C" w:rsidRDefault="00EA334C" w:rsidP="007E6C00">
      <w:pPr>
        <w:spacing w:after="0" w:line="240" w:lineRule="auto"/>
      </w:pPr>
      <w:r>
        <w:separator/>
      </w:r>
    </w:p>
  </w:endnote>
  <w:endnote w:type="continuationSeparator" w:id="0">
    <w:p w14:paraId="582053C3" w14:textId="77777777" w:rsidR="00EA334C" w:rsidRDefault="00EA334C"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5001" w14:textId="77777777" w:rsidR="00075F73" w:rsidRDefault="00000000">
    <w:pPr>
      <w:pStyle w:val="Footer"/>
    </w:pPr>
    <w:r>
      <w:rPr>
        <w:color w:val="595959"/>
        <w:sz w:val="18"/>
      </w:rPr>
      <w:t>Intended for internal use and client delivery</w:t>
    </w:r>
    <w:r>
      <w:rPr>
        <w:sz w:val="18"/>
      </w:rPr>
      <w:tab/>
    </w:r>
    <w:r>
      <w:t xml:space="preserve"> </w:t>
    </w:r>
    <w:r>
      <w:tab/>
    </w: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52750" w14:textId="77777777" w:rsidR="00EA334C" w:rsidRDefault="00EA334C" w:rsidP="007E6C00">
      <w:pPr>
        <w:spacing w:after="0" w:line="240" w:lineRule="auto"/>
      </w:pPr>
      <w:r>
        <w:separator/>
      </w:r>
    </w:p>
  </w:footnote>
  <w:footnote w:type="continuationSeparator" w:id="0">
    <w:p w14:paraId="013F7BBA" w14:textId="77777777" w:rsidR="00EA334C" w:rsidRDefault="00EA334C"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8ED1" w14:textId="77777777" w:rsidR="00075F73" w:rsidRDefault="00000000">
    <w:pPr>
      <w:pStyle w:val="Header"/>
      <w:jc w:val="right"/>
    </w:pPr>
    <w:r>
      <w:rPr>
        <w:color w:val="595959"/>
        <w:sz w:val="18"/>
      </w:rPr>
      <w:t>Proprietary to Mastech Digital.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0F8769F"/>
    <w:multiLevelType w:val="multilevel"/>
    <w:tmpl w:val="EE5028AE"/>
    <w:lvl w:ilvl="0">
      <w:start w:val="1"/>
      <w:numFmt w:val="bullet"/>
      <w:lvlText w:val=""/>
      <w:lvlJc w:val="left"/>
      <w:pPr>
        <w:ind w:left="740" w:hanging="380"/>
      </w:pPr>
      <w:rPr>
        <w:rFonts w:ascii="Symbol" w:hAnsi="Symbol"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67058D1"/>
    <w:multiLevelType w:val="multilevel"/>
    <w:tmpl w:val="EE5028AE"/>
    <w:lvl w:ilvl="0">
      <w:start w:val="1"/>
      <w:numFmt w:val="bullet"/>
      <w:lvlText w:val=""/>
      <w:lvlJc w:val="left"/>
      <w:pPr>
        <w:ind w:left="740" w:hanging="380"/>
      </w:pPr>
      <w:rPr>
        <w:rFonts w:ascii="Symbol" w:hAnsi="Symbol"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72F4F1E"/>
    <w:multiLevelType w:val="multilevel"/>
    <w:tmpl w:val="EE5028AE"/>
    <w:lvl w:ilvl="0">
      <w:start w:val="1"/>
      <w:numFmt w:val="bullet"/>
      <w:lvlText w:val=""/>
      <w:lvlJc w:val="left"/>
      <w:pPr>
        <w:ind w:left="740" w:hanging="380"/>
      </w:pPr>
      <w:rPr>
        <w:rFonts w:ascii="Symbol" w:hAnsi="Symbol"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4734069"/>
    <w:multiLevelType w:val="multilevel"/>
    <w:tmpl w:val="EE5028AE"/>
    <w:lvl w:ilvl="0">
      <w:start w:val="1"/>
      <w:numFmt w:val="bullet"/>
      <w:lvlText w:val=""/>
      <w:lvlJc w:val="left"/>
      <w:pPr>
        <w:ind w:left="760" w:hanging="380"/>
      </w:pPr>
      <w:rPr>
        <w:rFonts w:ascii="Symbol" w:hAnsi="Symbol" w:hint="default"/>
      </w:rPr>
    </w:lvl>
    <w:lvl w:ilvl="1">
      <w:start w:val="1"/>
      <w:numFmt w:val="decimal"/>
      <w:isLgl/>
      <w:lvlText w:val="%1.%2"/>
      <w:lvlJc w:val="left"/>
      <w:pPr>
        <w:ind w:left="860" w:hanging="480"/>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460" w:hanging="108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820" w:hanging="144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2180" w:hanging="1800"/>
      </w:pPr>
      <w:rPr>
        <w:rFonts w:hint="default"/>
      </w:rPr>
    </w:lvl>
    <w:lvl w:ilvl="8">
      <w:start w:val="1"/>
      <w:numFmt w:val="decimal"/>
      <w:isLgl/>
      <w:lvlText w:val="%1.%2.%3.%4.%5.%6.%7.%8.%9"/>
      <w:lvlJc w:val="left"/>
      <w:pPr>
        <w:ind w:left="2180" w:hanging="1800"/>
      </w:pPr>
      <w:rPr>
        <w:rFonts w:hint="default"/>
      </w:rPr>
    </w:lvl>
  </w:abstractNum>
  <w:abstractNum w:abstractNumId="13"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CCB134E"/>
    <w:multiLevelType w:val="multilevel"/>
    <w:tmpl w:val="EE5028AE"/>
    <w:lvl w:ilvl="0">
      <w:start w:val="1"/>
      <w:numFmt w:val="bullet"/>
      <w:lvlText w:val=""/>
      <w:lvlJc w:val="left"/>
      <w:pPr>
        <w:ind w:left="740" w:hanging="380"/>
      </w:pPr>
      <w:rPr>
        <w:rFonts w:ascii="Symbol" w:hAnsi="Symbol"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61F0E6A"/>
    <w:multiLevelType w:val="multilevel"/>
    <w:tmpl w:val="EE5028AE"/>
    <w:lvl w:ilvl="0">
      <w:start w:val="1"/>
      <w:numFmt w:val="bullet"/>
      <w:lvlText w:val=""/>
      <w:lvlJc w:val="left"/>
      <w:pPr>
        <w:ind w:left="740" w:hanging="380"/>
      </w:pPr>
      <w:rPr>
        <w:rFonts w:ascii="Symbol" w:hAnsi="Symbol"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F42008E"/>
    <w:multiLevelType w:val="multilevel"/>
    <w:tmpl w:val="EE5028AE"/>
    <w:lvl w:ilvl="0">
      <w:start w:val="1"/>
      <w:numFmt w:val="bullet"/>
      <w:lvlText w:val=""/>
      <w:lvlJc w:val="left"/>
      <w:pPr>
        <w:ind w:left="740" w:hanging="380"/>
      </w:pPr>
      <w:rPr>
        <w:rFonts w:ascii="Symbol" w:hAnsi="Symbol"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B332FDF"/>
    <w:multiLevelType w:val="multilevel"/>
    <w:tmpl w:val="EE5028AE"/>
    <w:lvl w:ilvl="0">
      <w:start w:val="1"/>
      <w:numFmt w:val="bullet"/>
      <w:lvlText w:val=""/>
      <w:lvlJc w:val="left"/>
      <w:pPr>
        <w:ind w:left="760" w:hanging="380"/>
      </w:pPr>
      <w:rPr>
        <w:rFonts w:ascii="Symbol" w:hAnsi="Symbol" w:hint="default"/>
      </w:rPr>
    </w:lvl>
    <w:lvl w:ilvl="1">
      <w:start w:val="1"/>
      <w:numFmt w:val="decimal"/>
      <w:isLgl/>
      <w:lvlText w:val="%1.%2"/>
      <w:lvlJc w:val="left"/>
      <w:pPr>
        <w:ind w:left="860" w:hanging="480"/>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460" w:hanging="108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820" w:hanging="144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2180" w:hanging="1800"/>
      </w:pPr>
      <w:rPr>
        <w:rFonts w:hint="default"/>
      </w:rPr>
    </w:lvl>
    <w:lvl w:ilvl="8">
      <w:start w:val="1"/>
      <w:numFmt w:val="decimal"/>
      <w:isLgl/>
      <w:lvlText w:val="%1.%2.%3.%4.%5.%6.%7.%8.%9"/>
      <w:lvlJc w:val="left"/>
      <w:pPr>
        <w:ind w:left="2180" w:hanging="1800"/>
      </w:pPr>
      <w:rPr>
        <w:rFonts w:hint="default"/>
      </w:rPr>
    </w:lvl>
  </w:abstractNum>
  <w:abstractNum w:abstractNumId="25"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6"/>
  </w:num>
  <w:num w:numId="2" w16cid:durableId="1615937411">
    <w:abstractNumId w:val="11"/>
  </w:num>
  <w:num w:numId="3" w16cid:durableId="2037195550">
    <w:abstractNumId w:val="21"/>
  </w:num>
  <w:num w:numId="4" w16cid:durableId="2032560195">
    <w:abstractNumId w:val="3"/>
  </w:num>
  <w:num w:numId="5" w16cid:durableId="1892955781">
    <w:abstractNumId w:val="14"/>
  </w:num>
  <w:num w:numId="6" w16cid:durableId="170150221">
    <w:abstractNumId w:val="15"/>
  </w:num>
  <w:num w:numId="7" w16cid:durableId="1137920220">
    <w:abstractNumId w:val="23"/>
  </w:num>
  <w:num w:numId="8" w16cid:durableId="99880526">
    <w:abstractNumId w:val="26"/>
  </w:num>
  <w:num w:numId="9" w16cid:durableId="311519078">
    <w:abstractNumId w:val="2"/>
  </w:num>
  <w:num w:numId="10" w16cid:durableId="540359249">
    <w:abstractNumId w:val="0"/>
  </w:num>
  <w:num w:numId="11" w16cid:durableId="461047146">
    <w:abstractNumId w:val="19"/>
  </w:num>
  <w:num w:numId="12" w16cid:durableId="796995440">
    <w:abstractNumId w:val="1"/>
  </w:num>
  <w:num w:numId="13" w16cid:durableId="485439840">
    <w:abstractNumId w:val="13"/>
  </w:num>
  <w:num w:numId="14" w16cid:durableId="779226749">
    <w:abstractNumId w:val="25"/>
  </w:num>
  <w:num w:numId="15" w16cid:durableId="482624707">
    <w:abstractNumId w:val="6"/>
  </w:num>
  <w:num w:numId="16" w16cid:durableId="850219262">
    <w:abstractNumId w:val="17"/>
  </w:num>
  <w:num w:numId="17" w16cid:durableId="250626880">
    <w:abstractNumId w:val="7"/>
  </w:num>
  <w:num w:numId="18" w16cid:durableId="1909340120">
    <w:abstractNumId w:val="4"/>
  </w:num>
  <w:num w:numId="19" w16cid:durableId="1340767024">
    <w:abstractNumId w:val="9"/>
  </w:num>
  <w:num w:numId="20" w16cid:durableId="263919806">
    <w:abstractNumId w:val="5"/>
  </w:num>
  <w:num w:numId="21" w16cid:durableId="1130440818">
    <w:abstractNumId w:val="18"/>
  </w:num>
  <w:num w:numId="22" w16cid:durableId="2059813611">
    <w:abstractNumId w:val="20"/>
  </w:num>
  <w:num w:numId="23" w16cid:durableId="1981183735">
    <w:abstractNumId w:val="8"/>
  </w:num>
  <w:num w:numId="24" w16cid:durableId="2101949791">
    <w:abstractNumId w:val="10"/>
  </w:num>
  <w:num w:numId="25" w16cid:durableId="1798986974">
    <w:abstractNumId w:val="22"/>
  </w:num>
  <w:num w:numId="26" w16cid:durableId="1993605362">
    <w:abstractNumId w:val="24"/>
  </w:num>
  <w:num w:numId="27" w16cid:durableId="43289558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17AC4"/>
    <w:rsid w:val="00032BFE"/>
    <w:rsid w:val="0003423C"/>
    <w:rsid w:val="000448DD"/>
    <w:rsid w:val="00047788"/>
    <w:rsid w:val="00050EAD"/>
    <w:rsid w:val="00051493"/>
    <w:rsid w:val="00053C3D"/>
    <w:rsid w:val="00062286"/>
    <w:rsid w:val="0007412F"/>
    <w:rsid w:val="00075F73"/>
    <w:rsid w:val="00077173"/>
    <w:rsid w:val="00080B21"/>
    <w:rsid w:val="000840EB"/>
    <w:rsid w:val="00085FC8"/>
    <w:rsid w:val="000911B4"/>
    <w:rsid w:val="00092A2D"/>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467E"/>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75E17"/>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3E31"/>
    <w:rsid w:val="0044499C"/>
    <w:rsid w:val="00447C3E"/>
    <w:rsid w:val="004510F0"/>
    <w:rsid w:val="004515D2"/>
    <w:rsid w:val="00454B5E"/>
    <w:rsid w:val="00456CFC"/>
    <w:rsid w:val="00460DAA"/>
    <w:rsid w:val="00463202"/>
    <w:rsid w:val="004672E3"/>
    <w:rsid w:val="00467BD4"/>
    <w:rsid w:val="0047034D"/>
    <w:rsid w:val="00481810"/>
    <w:rsid w:val="00482453"/>
    <w:rsid w:val="00485C61"/>
    <w:rsid w:val="00486788"/>
    <w:rsid w:val="00490313"/>
    <w:rsid w:val="00490894"/>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05CA"/>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139BC"/>
    <w:rsid w:val="00615ACF"/>
    <w:rsid w:val="006219D7"/>
    <w:rsid w:val="006241FA"/>
    <w:rsid w:val="00625CC7"/>
    <w:rsid w:val="006272F6"/>
    <w:rsid w:val="00635AA5"/>
    <w:rsid w:val="0063693B"/>
    <w:rsid w:val="0064123C"/>
    <w:rsid w:val="006440F8"/>
    <w:rsid w:val="00650BAF"/>
    <w:rsid w:val="006571FC"/>
    <w:rsid w:val="006678BA"/>
    <w:rsid w:val="00667BD8"/>
    <w:rsid w:val="0067042F"/>
    <w:rsid w:val="00671D3C"/>
    <w:rsid w:val="00672E0C"/>
    <w:rsid w:val="00673434"/>
    <w:rsid w:val="00676EED"/>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241"/>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10A5"/>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6F00"/>
    <w:rsid w:val="00847678"/>
    <w:rsid w:val="00851A2A"/>
    <w:rsid w:val="00853E1D"/>
    <w:rsid w:val="00855EE9"/>
    <w:rsid w:val="0086091D"/>
    <w:rsid w:val="00862337"/>
    <w:rsid w:val="0086334D"/>
    <w:rsid w:val="00863A14"/>
    <w:rsid w:val="0086402A"/>
    <w:rsid w:val="00882682"/>
    <w:rsid w:val="00882FFC"/>
    <w:rsid w:val="0088356D"/>
    <w:rsid w:val="00891030"/>
    <w:rsid w:val="008930B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CEC"/>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2929"/>
    <w:rsid w:val="00AF3575"/>
    <w:rsid w:val="00AF4B96"/>
    <w:rsid w:val="00B04DA2"/>
    <w:rsid w:val="00B06F96"/>
    <w:rsid w:val="00B07B40"/>
    <w:rsid w:val="00B07B83"/>
    <w:rsid w:val="00B10D74"/>
    <w:rsid w:val="00B217A9"/>
    <w:rsid w:val="00B21EE5"/>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3FE"/>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02F3"/>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34C"/>
    <w:rsid w:val="00EA38AD"/>
    <w:rsid w:val="00EA69A9"/>
    <w:rsid w:val="00EB0D24"/>
    <w:rsid w:val="00EB14B3"/>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488A"/>
    <w:rsid w:val="00F652A6"/>
    <w:rsid w:val="00F66B32"/>
    <w:rsid w:val="00F670B9"/>
    <w:rsid w:val="00F70BAE"/>
    <w:rsid w:val="00F72F9C"/>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0A700"/>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10</Pages>
  <Words>3207</Words>
  <Characters>18281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904</cp:revision>
  <dcterms:created xsi:type="dcterms:W3CDTF">2025-11-20T12:09:00Z</dcterms:created>
  <dcterms:modified xsi:type="dcterms:W3CDTF">2026-02-10T11:39:00Z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