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0"/>
      </w:pPr>
    </w:p>
    <w:p>
      <w:pPr>
        <w:spacing w:before="0" w:after="0"/>
      </w:pPr>
    </w:p>
    <w:p>
      <w:pPr>
        <w:spacing w:before="0" w:after="0"/>
      </w:pPr>
    </w:p>
    <w:p>
      <w:pPr>
        <w:spacing w:before="0" w:after="0"/>
      </w:pPr>
    </w:p>
    <w:p>
      <w:pPr>
        <w:spacing w:before="0" w:after="0"/>
      </w:pPr>
    </w:p>
    <w:p>
      <w:pPr>
        <w:spacing w:before="0" w:after="0"/>
      </w:pPr>
    </w:p>
    <w:p>
      <w:pPr>
        <w:pStyle w:val="Title"/>
        <w:jc w:val="center"/>
      </w:pPr>
      <w:r>
        <w:rPr>
          <w:color w:val="0F4761"/>
          <w:sz w:val="56"/>
        </w:rPr>
        <w:t>Sales Collateral – Economic Buyer</w:t>
      </w:r>
    </w:p>
    <w:p>
      <w:pPr>
        <w:pStyle w:val="Title"/>
        <w:jc w:val="center"/>
      </w:pPr>
      <w:r>
        <w:rPr>
          <w:color w:val="0F4761"/>
          <w:sz w:val="72"/>
        </w:rPr>
        <w:t>CDO/CTO Strategic Vision</w:t>
        <w:br/>
        <w:t>Alignment Brief</w:t>
      </w:r>
    </w:p>
    <w:p>
      <w:pPr/>
    </w:p>
    <w:p>
      <w:pPr/>
    </w:p>
    <w:p>
      <w:pPr/>
    </w:p>
    <w:p>
      <w:pPr/>
    </w:p>
    <w:p>
      <w:pPr>
        <w:jc w:val="center"/>
      </w:pPr>
      <w:r>
        <w:rPr>
          <w:b/>
          <w:color w:val="0F4761"/>
          <w:sz w:val="28"/>
        </w:rPr>
        <w:t>Mastech Digital | Databricks Practice</w:t>
      </w:r>
    </w:p>
    <w:p>
      <w:pPr>
        <w:jc w:val="center"/>
      </w:pPr>
      <w:r>
        <w:rPr>
          <w:color w:val="595959"/>
          <w:sz w:val="24"/>
        </w:rPr>
        <w:t>2026</w:t>
      </w:r>
    </w:p>
    <w:p>
      <w:pPr/>
    </w:p>
    <w:p>
      <w:pPr/>
    </w:p>
    <w:p>
      <w:pPr/>
    </w:p>
    <w:p>
      <w:pPr/>
    </w:p>
    <w:p>
      <w:pPr/>
    </w:p>
    <w:p>
      <w:pPr/>
    </w:p>
    <w:p>
      <w:r>
        <w:br w:type="page"/>
      </w:r>
    </w:p>
    <w:p>
      <w:pPr>
        <w:pStyle w:val="Heading1"/>
      </w:pPr>
      <w:r>
        <w:rPr>
          <w:color w:val="0F4761"/>
          <w:sz w:val="40"/>
        </w:rPr>
        <w:t>1. Executive Summary</w:t>
      </w:r>
    </w:p>
    <w:p>
      <w:pPr>
        <w:spacing w:after="160"/>
      </w:pPr>
      <w:r>
        <w:t>This document is designed for Chief Data Officers and Chief Technology Officers who are evaluating Databricks as the foundation for their enterprise data and AI strategy. It maps Mastech Digital’s portfolio of five Databricks-native service offerings directly to the strategic priorities that define the modern CDO/CTO agenda: data democratization, AI/ML at scale, cloud modernization, data quality and trust, and operational excellence.</w:t>
      </w:r>
    </w:p>
    <w:p>
      <w:pPr>
        <w:spacing w:after="160"/>
      </w:pPr>
      <w:r>
        <w:t>The document establishes how the Databricks Lakehouse architecture—combined with Mastech’s AI-first implementation methodology, proprietary SLM automation, and autonomous agent framework—provides a unified technical foundation that replaces the fragmented, multi-vendor landscape that characterizes most legacy data environments. This is not simply a platform migration; it is an architectural transformation that aligns technology investments with the strategic outcomes that CDOs and CTOs are accountable for delivering.</w:t>
      </w:r>
    </w:p>
    <w:p>
      <w:pPr>
        <w:spacing w:after="160"/>
      </w:pPr>
      <w:r>
        <w:t>Each section provides sufficient technical depth for technology leadership evaluation while maintaining the strategic perspective required for investment justification and organizational alignment. The document concludes with a technology roadmap that demonstrates how Mastech’s offerings align with Databricks’ product evolution and the broader industry trajectory toward compound AI systems and autonomous data operations.</w:t>
      </w:r>
    </w:p>
    <w:p>
      <w:r>
        <w:br w:type="page"/>
      </w:r>
    </w:p>
    <w:p>
      <w:pPr>
        <w:pStyle w:val="Heading1"/>
      </w:pPr>
      <w:r>
        <w:rPr>
          <w:color w:val="0F4761"/>
          <w:sz w:val="40"/>
        </w:rPr>
        <w:t>2. The Modern Data &amp; AI Stack</w:t>
      </w:r>
    </w:p>
    <w:p>
      <w:pPr>
        <w:spacing w:after="160"/>
      </w:pPr>
      <w:r>
        <w:t>The enterprise data landscape has reached an inflection point. For the past two decades, organizations have accumulated a sprawling ecosystem of specialized tools—data warehouses for structured analytics, data lakes for unstructured storage, ETL platforms for data movement, BI tools for reporting, separate ML platforms for data science, and point solutions for data quality, governance, and orchestration. This fragmented architecture creates exponential complexity, integration overhead, and governance blind spots that fundamentally limit an organization’s ability to scale data and AI capabilities.</w:t>
      </w:r>
    </w:p>
    <w:p>
      <w:pPr>
        <w:spacing w:after="160"/>
      </w:pPr>
      <w:r>
        <w:t>The Databricks Lakehouse architecture represents a paradigm shift: a single, unified platform that combines the reliability and governance of data warehouses with the flexibility and scale of data lakes, while natively integrating compute engines for SQL analytics, data engineering, streaming, machine learning, and AI. Built on open standards (Delta Lake, Apache Spark, MLflow), the Lakehouse eliminates data silos, reduces integration complexity, and provides a single governance layer across all data assets and workloads.</w:t>
      </w:r>
    </w:p>
    <w:p>
      <w:pPr>
        <w:spacing w:after="160"/>
      </w:pPr>
      <w:r>
        <w:t>For CDOs and CTOs, this architectural unification addresses several persistent challenges simultaneously:</w:t>
      </w:r>
    </w:p>
    <w:p>
      <w:pPr>
        <w:pStyle w:val="ListParagraph"/>
        <w:spacing w:after="80"/>
        <w:numPr>
          <w:ilvl w:val="0"/>
          <w:numId w:val="1"/>
        </w:numPr>
      </w:pPr>
      <w:r>
        <w:rPr>
          <w:b/>
        </w:rPr>
        <w:t xml:space="preserve">Elimination of Data Silos: </w:t>
      </w:r>
      <w:r>
        <w:t>A single copy of data serves all workloads—batch and streaming ETL, SQL analytics, BI dashboards, ML feature engineering, and AI model training—eliminating the costly and error-prone data duplication that characterizes multi-platform architectures.</w:t>
      </w:r>
    </w:p>
    <w:p>
      <w:pPr>
        <w:pStyle w:val="ListParagraph"/>
        <w:spacing w:after="80"/>
        <w:numPr>
          <w:ilvl w:val="0"/>
          <w:numId w:val="1"/>
        </w:numPr>
      </w:pPr>
      <w:r>
        <w:rPr>
          <w:b/>
        </w:rPr>
        <w:t xml:space="preserve">Unified Governance: </w:t>
      </w:r>
      <w:r>
        <w:t>Unity Catalog provides centralized metadata management, fine-grained access controls, data lineage tracking, and audit capabilities across all data assets, regardless of workload type or consuming application.</w:t>
      </w:r>
    </w:p>
    <w:p>
      <w:pPr>
        <w:pStyle w:val="ListParagraph"/>
        <w:spacing w:after="80"/>
        <w:numPr>
          <w:ilvl w:val="0"/>
          <w:numId w:val="1"/>
        </w:numPr>
      </w:pPr>
      <w:r>
        <w:rPr>
          <w:b/>
        </w:rPr>
        <w:t xml:space="preserve">Open Standards Foundation: </w:t>
      </w:r>
      <w:r>
        <w:t>Built on Delta Lake (open-source), Apache Spark, and MLflow, the Lakehouse avoids proprietary lock-in while providing enterprise-grade reliability, ACID transactions, and time-travel capabilities.</w:t>
      </w:r>
    </w:p>
    <w:p>
      <w:pPr>
        <w:pStyle w:val="ListParagraph"/>
        <w:spacing w:after="80"/>
        <w:numPr>
          <w:ilvl w:val="0"/>
          <w:numId w:val="1"/>
        </w:numPr>
      </w:pPr>
      <w:r>
        <w:rPr>
          <w:b/>
        </w:rPr>
        <w:t xml:space="preserve">Performance at Scale: </w:t>
      </w:r>
      <w:r>
        <w:t>The Photon Engine delivers up to 12x performance improvement for SQL workloads over legacy engines, with serverless compute options that eliminate cluster management overhead entirely.</w:t>
      </w:r>
    </w:p>
    <w:p>
      <w:pPr>
        <w:pStyle w:val="ListParagraph"/>
        <w:spacing w:after="80"/>
        <w:numPr>
          <w:ilvl w:val="0"/>
          <w:numId w:val="1"/>
        </w:numPr>
      </w:pPr>
      <w:r>
        <w:rPr>
          <w:b/>
        </w:rPr>
        <w:t xml:space="preserve">AI-Native Architecture: </w:t>
      </w:r>
      <w:r>
        <w:t>Unlike legacy platforms that require bolt-on ML capabilities, the Lakehouse natively supports feature stores, model registries, experiment tracking, and model serving as first-class platform capabilities.</w:t>
      </w:r>
    </w:p>
    <w:p>
      <w:r>
        <w:br w:type="page"/>
      </w:r>
    </w:p>
    <w:p>
      <w:pPr>
        <w:pStyle w:val="Heading1"/>
      </w:pPr>
      <w:r>
        <w:rPr>
          <w:color w:val="0F4761"/>
          <w:sz w:val="40"/>
        </w:rPr>
        <w:t>3. Strategic Alignment Matrix</w:t>
      </w:r>
    </w:p>
    <w:p>
      <w:pPr>
        <w:spacing w:after="160"/>
      </w:pPr>
      <w:r>
        <w:t>The following alignment matrix maps each of Mastech Digital’s five Databricks-native service offerings to the strategic priorities that consistently define the CDO/CTO agenda. This is not a product catalog—it is a strategic framework that demonstrates how a unified modernization program addresses multiple leadership priorities simultaneously, maximizing the return on both technology investment and organizational change effort.</w:t>
      </w:r>
    </w:p>
    <w:p>
      <w:pPr>
        <w:pStyle w:val="Heading2"/>
      </w:pPr>
      <w:r>
        <w:rPr>
          <w:color w:val="0F4761"/>
          <w:sz w:val="32"/>
        </w:rPr>
        <w:t>3.1 Data Democratization → Autonomous Analytics &amp; BI</w:t>
      </w:r>
    </w:p>
    <w:p>
      <w:pPr>
        <w:spacing w:after="160"/>
      </w:pPr>
      <w:r>
        <w:t>Data democratization—enabling business users to access, analyze, and act on data without dependence on IT or specialized analytics teams—is a top-three priority for virtually every CDO. The Autonomous Analytics &amp; BI offering directly addresses this priority through natural-language query interfaces, AI-driven visualization generation, and self-service analytics capabilities that put insights in the hands of business users.</w:t>
      </w:r>
    </w:p>
    <w:p>
      <w:pPr>
        <w:pStyle w:val="ListParagraph"/>
        <w:spacing w:after="80"/>
        <w:numPr>
          <w:ilvl w:val="0"/>
          <w:numId w:val="1"/>
        </w:numPr>
      </w:pPr>
      <w:r>
        <w:rPr>
          <w:b/>
        </w:rPr>
        <w:t xml:space="preserve">Natural-Language Analytics: </w:t>
      </w:r>
      <w:r>
        <w:t>Business users ask questions in plain English; AI agents translate to optimized SQL, execute against the Lakehouse, and return formatted results with contextual visualizations.</w:t>
      </w:r>
    </w:p>
    <w:p>
      <w:pPr>
        <w:pStyle w:val="ListParagraph"/>
        <w:spacing w:after="80"/>
        <w:numPr>
          <w:ilvl w:val="0"/>
          <w:numId w:val="1"/>
        </w:numPr>
      </w:pPr>
      <w:r>
        <w:rPr>
          <w:b/>
        </w:rPr>
        <w:t xml:space="preserve">Self-Service BI Adoption: </w:t>
      </w:r>
      <w:r>
        <w:t>90% business user adoption through intuitive interfaces that eliminate the learning curve associated with traditional BI tools, reducing the analytics backlog that frustrates business stakeholders.</w:t>
      </w:r>
    </w:p>
    <w:p>
      <w:pPr>
        <w:pStyle w:val="ListParagraph"/>
        <w:spacing w:after="80"/>
        <w:numPr>
          <w:ilvl w:val="0"/>
          <w:numId w:val="1"/>
        </w:numPr>
      </w:pPr>
      <w:r>
        <w:rPr>
          <w:b/>
        </w:rPr>
        <w:t xml:space="preserve">Time-to-Insight Compression: </w:t>
      </w:r>
      <w:r>
        <w:t>100x faster insights compared to traditional report request-and-delivery cycles, enabling real-time decision-making at every level of the organization.</w:t>
      </w:r>
    </w:p>
    <w:p>
      <w:pPr>
        <w:pStyle w:val="Heading2"/>
      </w:pPr>
      <w:r>
        <w:rPr>
          <w:color w:val="0F4761"/>
          <w:sz w:val="32"/>
        </w:rPr>
        <w:t>3.2 AI/ML at Scale → Autonomous Data Science</w:t>
      </w:r>
    </w:p>
    <w:p>
      <w:pPr>
        <w:spacing w:after="160"/>
      </w:pPr>
      <w:r>
        <w:t>Scaling AI/ML from isolated pilot projects to enterprise-wide production capability is the defining challenge for technology leaders in 2025 and beyond. The Autonomous Data Science offering provides end-to-end ML lifecycle automation that removes the bottlenecks preventing organizations from deploying models at scale.</w:t>
      </w:r>
    </w:p>
    <w:p>
      <w:pPr>
        <w:pStyle w:val="ListParagraph"/>
        <w:spacing w:after="80"/>
        <w:numPr>
          <w:ilvl w:val="0"/>
          <w:numId w:val="1"/>
        </w:numPr>
      </w:pPr>
      <w:r>
        <w:rPr>
          <w:b/>
        </w:rPr>
        <w:t xml:space="preserve">Automated ML Lifecycle: </w:t>
      </w:r>
      <w:r>
        <w:t>From feature engineering and experiment tracking through model training, validation, deployment, and monitoring—the entire lifecycle is automated, reducing effort by 60–80%.</w:t>
      </w:r>
    </w:p>
    <w:p>
      <w:pPr>
        <w:pStyle w:val="ListParagraph"/>
        <w:spacing w:after="80"/>
        <w:numPr>
          <w:ilvl w:val="0"/>
          <w:numId w:val="1"/>
        </w:numPr>
      </w:pPr>
      <w:r>
        <w:rPr>
          <w:b/>
        </w:rPr>
        <w:t xml:space="preserve">Model Deployment at Scale: </w:t>
      </w:r>
      <w:r>
        <w:t>3x more models deployed to production through automated CI/CD pipelines, model registries, and A/B testing frameworks that standardize the path from development to deployment.</w:t>
      </w:r>
    </w:p>
    <w:p>
      <w:pPr>
        <w:pStyle w:val="ListParagraph"/>
        <w:spacing w:after="80"/>
        <w:numPr>
          <w:ilvl w:val="0"/>
          <w:numId w:val="1"/>
        </w:numPr>
      </w:pPr>
      <w:r>
        <w:rPr>
          <w:b/>
        </w:rPr>
        <w:t xml:space="preserve">MLOps Maturity: </w:t>
      </w:r>
      <w:r>
        <w:t>Autonomous monitoring of model drift, data drift, and performance degradation ensures that production models maintain accuracy and reliability without manual intervention.</w:t>
      </w:r>
    </w:p>
    <w:p>
      <w:pPr>
        <w:pStyle w:val="Heading2"/>
      </w:pPr>
      <w:r>
        <w:rPr>
          <w:color w:val="0F4761"/>
          <w:sz w:val="32"/>
        </w:rPr>
        <w:t>3.3 Cloud Modernization → AI-Native Platform Modernization</w:t>
      </w:r>
    </w:p>
    <w:p>
      <w:pPr>
        <w:spacing w:after="160"/>
      </w:pPr>
      <w:r>
        <w:t>Cloud modernization is not simply a re-hosting exercise; it is an architectural transformation that must deliver measurable improvements in performance, cost, agility, and scalability. The AI-Native Platform Modernization offering provides the migration pathway from legacy systems to the cloud-native Databricks Lakehouse, leveraging SLM automation to accelerate delivery and reduce risk.</w:t>
      </w:r>
    </w:p>
    <w:p>
      <w:pPr>
        <w:pStyle w:val="ListParagraph"/>
        <w:spacing w:after="80"/>
        <w:numPr>
          <w:ilvl w:val="0"/>
          <w:numId w:val="1"/>
        </w:numPr>
      </w:pPr>
      <w:r>
        <w:rPr>
          <w:b/>
        </w:rPr>
        <w:t xml:space="preserve">Legacy Migration Acceleration: </w:t>
      </w:r>
      <w:r>
        <w:t>50–70% faster migration from Teradata, Hadoop, Informatica, and similar platforms through SLM-driven code conversion, schema mapping, and automated validation.</w:t>
      </w:r>
    </w:p>
    <w:p>
      <w:pPr>
        <w:pStyle w:val="ListParagraph"/>
        <w:spacing w:after="80"/>
        <w:numPr>
          <w:ilvl w:val="0"/>
          <w:numId w:val="1"/>
        </w:numPr>
      </w:pPr>
      <w:r>
        <w:rPr>
          <w:b/>
        </w:rPr>
        <w:t xml:space="preserve">Performance Improvement: </w:t>
      </w:r>
      <w:r>
        <w:t>3–5x query performance improvement over legacy data warehouses through Photon Engine optimization and modern columnar storage formats.</w:t>
      </w:r>
    </w:p>
    <w:p>
      <w:pPr>
        <w:pStyle w:val="ListParagraph"/>
        <w:spacing w:after="80"/>
        <w:numPr>
          <w:ilvl w:val="0"/>
          <w:numId w:val="1"/>
        </w:numPr>
      </w:pPr>
      <w:r>
        <w:rPr>
          <w:b/>
        </w:rPr>
        <w:t xml:space="preserve">TCO Reduction: </w:t>
      </w:r>
      <w:r>
        <w:t>40–60% total cost of ownership reduction through elimination of legacy licensing, infrastructure consolidation, and consumption-based pricing.</w:t>
      </w:r>
    </w:p>
    <w:p>
      <w:pPr>
        <w:pStyle w:val="Heading2"/>
      </w:pPr>
      <w:r>
        <w:rPr>
          <w:color w:val="0F4761"/>
          <w:sz w:val="32"/>
        </w:rPr>
        <w:t>3.4 Data Quality &amp; Trust → Autonomous Data Engineering</w:t>
      </w:r>
    </w:p>
    <w:p>
      <w:pPr>
        <w:spacing w:after="160"/>
      </w:pPr>
      <w:r>
        <w:t>Data quality and trust are foundational to every data initiative—analytics, reporting, ML models, and AI agents all depend on reliable, accurate, and timely data. The Autonomous Data Engineering offering transforms data quality from a reactive, incident-driven discipline into a proactive, AI-managed capability.</w:t>
      </w:r>
    </w:p>
    <w:p>
      <w:pPr>
        <w:pStyle w:val="ListParagraph"/>
        <w:spacing w:after="80"/>
        <w:numPr>
          <w:ilvl w:val="0"/>
          <w:numId w:val="1"/>
        </w:numPr>
      </w:pPr>
      <w:r>
        <w:rPr>
          <w:b/>
        </w:rPr>
        <w:t xml:space="preserve">AI-Driven Quality Monitoring: </w:t>
      </w:r>
      <w:r>
        <w:t>Autonomous agents continuously monitor data pipelines for anomalies, schema drift, freshness violations, and quality degradation, detecting issues before they impact downstream consumers.</w:t>
      </w:r>
    </w:p>
    <w:p>
      <w:pPr>
        <w:pStyle w:val="ListParagraph"/>
        <w:spacing w:after="80"/>
        <w:numPr>
          <w:ilvl w:val="0"/>
          <w:numId w:val="1"/>
        </w:numPr>
      </w:pPr>
      <w:r>
        <w:rPr>
          <w:b/>
        </w:rPr>
        <w:t xml:space="preserve">Incident Reduction: </w:t>
      </w:r>
      <w:r>
        <w:t>60% fewer data quality incidents through proactive detection and automated remediation, reducing the cascading impact of data quality failures on business operations and decision-making.</w:t>
      </w:r>
    </w:p>
    <w:p>
      <w:pPr>
        <w:pStyle w:val="ListParagraph"/>
        <w:spacing w:after="80"/>
        <w:numPr>
          <w:ilvl w:val="0"/>
          <w:numId w:val="1"/>
        </w:numPr>
      </w:pPr>
      <w:r>
        <w:rPr>
          <w:b/>
        </w:rPr>
        <w:t xml:space="preserve">Engineering Efficiency: </w:t>
      </w:r>
      <w:r>
        <w:t>70% reduction in engineering effort through AI agent-based pipeline orchestration, enabling data engineers to focus on data product innovation rather than pipeline maintenance.</w:t>
      </w:r>
    </w:p>
    <w:p>
      <w:pPr>
        <w:pStyle w:val="Heading2"/>
      </w:pPr>
      <w:r>
        <w:rPr>
          <w:color w:val="0F4761"/>
          <w:sz w:val="32"/>
        </w:rPr>
        <w:t>3.5 Operational Excellence → Autonomous Platform Operations</w:t>
      </w:r>
    </w:p>
    <w:p>
      <w:pPr>
        <w:spacing w:after="160"/>
      </w:pPr>
      <w:r>
        <w:t>Operational excellence in data platforms means consistent performance, predictable costs, proactive issue resolution, and continuous optimization—without scaling the operations team proportionally to platform growth. The Autonomous Platform Operations offering delivers this through Mastech’s proprietary 8-dimensional operations framework.</w:t>
      </w:r>
    </w:p>
    <w:p>
      <w:pPr>
        <w:pStyle w:val="ListParagraph"/>
        <w:spacing w:after="80"/>
        <w:numPr>
          <w:ilvl w:val="0"/>
          <w:numId w:val="1"/>
        </w:numPr>
      </w:pPr>
      <w:r>
        <w:rPr>
          <w:b/>
        </w:rPr>
        <w:t xml:space="preserve">8-Dimensional Framework: </w:t>
      </w:r>
      <w:r>
        <w:t>Comprehensive operational coverage spanning performance, cost, security, governance, availability, scalability, observability, and compliance—each dimension managed by dedicated AI agents.</w:t>
      </w:r>
    </w:p>
    <w:p>
      <w:pPr>
        <w:pStyle w:val="ListParagraph"/>
        <w:spacing w:after="80"/>
        <w:numPr>
          <w:ilvl w:val="0"/>
          <w:numId w:val="1"/>
        </w:numPr>
      </w:pPr>
      <w:r>
        <w:rPr>
          <w:b/>
        </w:rPr>
        <w:t xml:space="preserve">Operational Efficiency: </w:t>
      </w:r>
      <w:r>
        <w:t>70% improvement in operational efficiency through automation of monitoring, alerting, root cause analysis, and remediation activities that traditionally require large operations teams.</w:t>
      </w:r>
    </w:p>
    <w:p>
      <w:pPr>
        <w:pStyle w:val="ListParagraph"/>
        <w:spacing w:after="80"/>
        <w:numPr>
          <w:ilvl w:val="0"/>
          <w:numId w:val="1"/>
        </w:numPr>
      </w:pPr>
      <w:r>
        <w:rPr>
          <w:b/>
        </w:rPr>
        <w:t xml:space="preserve">Cost Optimization: </w:t>
      </w:r>
      <w:r>
        <w:t>25–45% cost reduction through AI-driven workload scheduling, cluster right-sizing, storage tiering, and consumption pattern optimization.</w:t>
      </w:r>
    </w:p>
    <w:p>
      <w:pPr>
        <w:pStyle w:val="ListParagraph"/>
        <w:spacing w:after="80"/>
        <w:numPr>
          <w:ilvl w:val="0"/>
          <w:numId w:val="1"/>
        </w:numPr>
      </w:pPr>
      <w:r>
        <w:rPr>
          <w:b/>
        </w:rPr>
        <w:t xml:space="preserve">SLA Adherence: </w:t>
      </w:r>
      <w:r>
        <w:t>99.9% platform availability SLA, maintained through predictive incident management and automated failover capabilities.</w:t>
      </w:r>
    </w:p>
    <w:p>
      <w:r>
        <w:br w:type="page"/>
      </w:r>
    </w:p>
    <w:p>
      <w:pPr>
        <w:pStyle w:val="Heading1"/>
      </w:pPr>
      <w:r>
        <w:rPr>
          <w:color w:val="0F4761"/>
          <w:sz w:val="40"/>
        </w:rPr>
        <w:t>4. Databricks Lakehouse: The Foundation</w:t>
      </w:r>
    </w:p>
    <w:p>
      <w:pPr>
        <w:spacing w:after="160"/>
      </w:pPr>
      <w:r>
        <w:t>The technical foundation for all five Mastech service offerings is the Databricks Lakehouse platform. For CDOs and CTOs evaluating the architectural implications of this investment, the following capabilities represent the key platform differentiators that enable the outcomes described in the strategic alignment matrix.</w:t>
      </w:r>
    </w:p>
    <w:p>
      <w:pPr>
        <w:pStyle w:val="Heading2"/>
      </w:pPr>
      <w:r>
        <w:rPr>
          <w:color w:val="0F4761"/>
          <w:sz w:val="32"/>
        </w:rPr>
        <w:t>4.1 Unity Catalog</w:t>
      </w:r>
    </w:p>
    <w:p>
      <w:pPr>
        <w:spacing w:after="160"/>
      </w:pPr>
      <w:r>
        <w:t>Unity Catalog is Databricks’ unified governance solution that provides centralized metadata management, fine-grained access controls, and comprehensive data lineage across all data and AI assets. It serves as the single governance plane for tables, views, ML models, feature tables, notebooks, and dashboards, eliminating the need for separate governance tools and ensuring consistent policy enforcement.</w:t>
      </w:r>
    </w:p>
    <w:p>
      <w:pPr>
        <w:pStyle w:val="ListParagraph"/>
        <w:spacing w:after="80"/>
        <w:numPr>
          <w:ilvl w:val="0"/>
          <w:numId w:val="1"/>
        </w:numPr>
      </w:pPr>
      <w:r>
        <w:rPr>
          <w:b/>
        </w:rPr>
        <w:t xml:space="preserve">Centralized Metadata: </w:t>
      </w:r>
      <w:r>
        <w:t>A single catalog for all data assets across workspaces, cloud providers, and regions, providing a unified view of the enterprise data estate.</w:t>
      </w:r>
    </w:p>
    <w:p>
      <w:pPr>
        <w:pStyle w:val="ListParagraph"/>
        <w:spacing w:after="80"/>
        <w:numPr>
          <w:ilvl w:val="0"/>
          <w:numId w:val="1"/>
        </w:numPr>
      </w:pPr>
      <w:r>
        <w:rPr>
          <w:b/>
        </w:rPr>
        <w:t xml:space="preserve">Attribute-Based Access Control: </w:t>
      </w:r>
      <w:r>
        <w:t>Fine-grained, attribute-based access policies that support row-level and column-level security, dynamic data masking, and policy inheritance.</w:t>
      </w:r>
    </w:p>
    <w:p>
      <w:pPr>
        <w:pStyle w:val="ListParagraph"/>
        <w:spacing w:after="80"/>
        <w:numPr>
          <w:ilvl w:val="0"/>
          <w:numId w:val="1"/>
        </w:numPr>
      </w:pPr>
      <w:r>
        <w:rPr>
          <w:b/>
        </w:rPr>
        <w:t xml:space="preserve">Automated Lineage: </w:t>
      </w:r>
      <w:r>
        <w:t>Automatic capture of data lineage across all transformations, from source ingestion through analytics consumption, supporting regulatory compliance and impact analysis.</w:t>
      </w:r>
    </w:p>
    <w:p>
      <w:pPr>
        <w:pStyle w:val="Heading2"/>
      </w:pPr>
      <w:r>
        <w:rPr>
          <w:color w:val="0F4761"/>
          <w:sz w:val="32"/>
        </w:rPr>
        <w:t>4.2 Delta Lake</w:t>
      </w:r>
    </w:p>
    <w:p>
      <w:pPr>
        <w:spacing w:after="160"/>
      </w:pPr>
      <w:r>
        <w:t>Delta Lake is the open-source storage layer that brings ACID transactions, scalable metadata handling, and time-travel capabilities to data lakes. It provides the reliability guarantees that enterprise workloads require while maintaining the flexibility and cost advantages of cloud object storage.</w:t>
      </w:r>
    </w:p>
    <w:p>
      <w:pPr>
        <w:pStyle w:val="ListParagraph"/>
        <w:spacing w:after="80"/>
        <w:numPr>
          <w:ilvl w:val="0"/>
          <w:numId w:val="1"/>
        </w:numPr>
      </w:pPr>
      <w:r>
        <w:rPr>
          <w:b/>
        </w:rPr>
        <w:t xml:space="preserve">ACID Transactions: </w:t>
      </w:r>
      <w:r>
        <w:t>Full transactional guarantees for concurrent reads and writes, eliminating the data corruption and inconsistency risks that plague traditional data lake architectures.</w:t>
      </w:r>
    </w:p>
    <w:p>
      <w:pPr>
        <w:pStyle w:val="ListParagraph"/>
        <w:spacing w:after="80"/>
        <w:numPr>
          <w:ilvl w:val="0"/>
          <w:numId w:val="1"/>
        </w:numPr>
      </w:pPr>
      <w:r>
        <w:rPr>
          <w:b/>
        </w:rPr>
        <w:t xml:space="preserve">Time Travel: </w:t>
      </w:r>
      <w:r>
        <w:t>Point-in-time query capability for auditing, rollback, and reproducible analytics, enabling regulatory compliance and experiment reproducibility.</w:t>
      </w:r>
    </w:p>
    <w:p>
      <w:pPr>
        <w:pStyle w:val="ListParagraph"/>
        <w:spacing w:after="80"/>
        <w:numPr>
          <w:ilvl w:val="0"/>
          <w:numId w:val="1"/>
        </w:numPr>
      </w:pPr>
      <w:r>
        <w:rPr>
          <w:b/>
        </w:rPr>
        <w:t xml:space="preserve">Schema Evolution: </w:t>
      </w:r>
      <w:r>
        <w:t>Support for schema evolution and enforcement that allows data structures to adapt to changing business requirements without breaking downstream consumers.</w:t>
      </w:r>
    </w:p>
    <w:p>
      <w:pPr>
        <w:pStyle w:val="Heading2"/>
      </w:pPr>
      <w:r>
        <w:rPr>
          <w:color w:val="0F4761"/>
          <w:sz w:val="32"/>
        </w:rPr>
        <w:t>4.3 Photon Engine and Serverless Compute</w:t>
      </w:r>
    </w:p>
    <w:p>
      <w:pPr>
        <w:spacing w:after="160"/>
      </w:pPr>
      <w:r>
        <w:t>The Photon Engine is Databricks’ next-generation query engine, built from the ground up in C++ for maximum performance on modern cloud infrastructure. Combined with serverless compute options, it delivers exceptional price-performance while eliminating the operational overhead of cluster management.</w:t>
      </w:r>
    </w:p>
    <w:p>
      <w:pPr>
        <w:pStyle w:val="ListParagraph"/>
        <w:spacing w:after="80"/>
        <w:numPr>
          <w:ilvl w:val="0"/>
          <w:numId w:val="1"/>
        </w:numPr>
      </w:pPr>
      <w:r>
        <w:rPr>
          <w:b/>
        </w:rPr>
        <w:t xml:space="preserve">Performance: </w:t>
      </w:r>
      <w:r>
        <w:t>Up to 12x performance improvement over legacy Spark execution for SQL workloads, with automatic optimization that requires no manual tuning.</w:t>
      </w:r>
    </w:p>
    <w:p>
      <w:pPr>
        <w:pStyle w:val="ListParagraph"/>
        <w:spacing w:after="80"/>
        <w:numPr>
          <w:ilvl w:val="0"/>
          <w:numId w:val="1"/>
        </w:numPr>
      </w:pPr>
      <w:r>
        <w:rPr>
          <w:b/>
        </w:rPr>
        <w:t xml:space="preserve">Serverless SQL: </w:t>
      </w:r>
      <w:r>
        <w:t>On-demand, instantly available SQL compute that eliminates cluster startup latency and idle compute costs, with automatic scaling based on query concurrency.</w:t>
      </w:r>
    </w:p>
    <w:p>
      <w:pPr>
        <w:pStyle w:val="ListParagraph"/>
        <w:spacing w:after="80"/>
        <w:numPr>
          <w:ilvl w:val="0"/>
          <w:numId w:val="1"/>
        </w:numPr>
      </w:pPr>
      <w:r>
        <w:rPr>
          <w:b/>
        </w:rPr>
        <w:t xml:space="preserve">Serverless Workflows: </w:t>
      </w:r>
      <w:r>
        <w:t>Serverless orchestration for data engineering pipelines that scales compute resources dynamically based on workload requirements, eliminating over-provisioning.</w:t>
      </w:r>
    </w:p>
    <w:p>
      <w:pPr>
        <w:pStyle w:val="Heading2"/>
      </w:pPr>
      <w:r>
        <w:rPr>
          <w:color w:val="0F4761"/>
          <w:sz w:val="32"/>
        </w:rPr>
        <w:t>4.4 Open Standards Commitment</w:t>
      </w:r>
    </w:p>
    <w:p>
      <w:pPr>
        <w:spacing w:after="160"/>
      </w:pPr>
      <w:r>
        <w:t>Databricks’ commitment to open standards is a critical differentiator for technology leaders concerned about vendor lock-in. The platform is built on and contributes to open-source projects including Delta Lake, Apache Spark, MLflow, and Unity Catalog (open-sourced in 2024), ensuring data portability and ecosystem interoperability.</w:t>
      </w:r>
    </w:p>
    <w:p>
      <w:pPr>
        <w:pStyle w:val="ListParagraph"/>
        <w:spacing w:after="80"/>
        <w:numPr>
          <w:ilvl w:val="0"/>
          <w:numId w:val="1"/>
        </w:numPr>
      </w:pPr>
      <w:r>
        <w:rPr>
          <w:b/>
        </w:rPr>
        <w:t xml:space="preserve">Data Portability: </w:t>
      </w:r>
      <w:r>
        <w:t>Delta Lake’s open format means data is accessible by any engine that supports Parquet, ensuring that organizations retain full control over their data assets independent of the compute platform.</w:t>
      </w:r>
    </w:p>
    <w:p>
      <w:pPr>
        <w:pStyle w:val="ListParagraph"/>
        <w:spacing w:after="80"/>
        <w:numPr>
          <w:ilvl w:val="0"/>
          <w:numId w:val="1"/>
        </w:numPr>
      </w:pPr>
      <w:r>
        <w:rPr>
          <w:b/>
        </w:rPr>
        <w:t xml:space="preserve">Ecosystem Interoperability: </w:t>
      </w:r>
      <w:r>
        <w:t>Native integrations with major cloud providers (AWS, Azure, GCP), BI tools (Tableau, Power BI, Looker), and data integration platforms through open APIs and standard protocols.</w:t>
      </w:r>
    </w:p>
    <w:p>
      <w:pPr>
        <w:pStyle w:val="ListParagraph"/>
        <w:spacing w:after="80"/>
        <w:numPr>
          <w:ilvl w:val="0"/>
          <w:numId w:val="1"/>
        </w:numPr>
      </w:pPr>
      <w:r>
        <w:rPr>
          <w:b/>
        </w:rPr>
        <w:t xml:space="preserve">Community Innovation: </w:t>
      </w:r>
      <w:r>
        <w:t>Active open-source communities driving continuous innovation in storage, compute, ML, and governance capabilities, reducing dependence on any single vendor’s product roadmap.</w:t>
      </w:r>
    </w:p>
    <w:p>
      <w:r>
        <w:br w:type="page"/>
      </w:r>
    </w:p>
    <w:p>
      <w:pPr>
        <w:pStyle w:val="Heading1"/>
      </w:pPr>
      <w:r>
        <w:rPr>
          <w:color w:val="0F4761"/>
          <w:sz w:val="40"/>
        </w:rPr>
        <w:t>5. Mastech Differentiators for Technical Leadership</w:t>
      </w:r>
    </w:p>
    <w:p>
      <w:pPr>
        <w:spacing w:after="160"/>
      </w:pPr>
      <w:r>
        <w:t>While Databricks provides the platform foundation, the implementation methodology and operational framework determine whether organizations realize the full value of their platform investment. Mastech Digital brings a distinctive set of technical differentiators that are specifically designed to accelerate time-to-value, reduce implementation risk, and establish sustainable operational excellence.</w:t>
      </w:r>
    </w:p>
    <w:p>
      <w:pPr>
        <w:pStyle w:val="Heading2"/>
      </w:pPr>
      <w:r>
        <w:rPr>
          <w:color w:val="0F4761"/>
          <w:sz w:val="32"/>
        </w:rPr>
        <w:t>5.1 SLM-Based Automation</w:t>
      </w:r>
    </w:p>
    <w:p>
      <w:pPr>
        <w:spacing w:after="160"/>
      </w:pPr>
      <w:r>
        <w:t>Mastech’s proprietary Small Language Models (SLMs) are purpose-built for data engineering transformation tasks. Unlike general-purpose LLMs, these models are fine-tuned on domain-specific datasets—SQL dialects, ETL patterns, schema mapping conventions—to deliver high-accuracy, high-throughput automation for migration and modernization tasks.</w:t>
      </w:r>
    </w:p>
    <w:p>
      <w:pPr>
        <w:pStyle w:val="ListParagraph"/>
        <w:spacing w:after="80"/>
        <w:numPr>
          <w:ilvl w:val="0"/>
          <w:numId w:val="1"/>
        </w:numPr>
      </w:pPr>
      <w:r>
        <w:rPr>
          <w:b/>
        </w:rPr>
        <w:t xml:space="preserve">SQL Translation: </w:t>
      </w:r>
      <w:r>
        <w:t>Automated conversion of Teradata BTEQ, Oracle PL/SQL, Informatica mappings, and other legacy code to Databricks-native Spark SQL and Python, with 85–95% accuracy on first pass.</w:t>
      </w:r>
    </w:p>
    <w:p>
      <w:pPr>
        <w:pStyle w:val="ListParagraph"/>
        <w:spacing w:after="80"/>
        <w:numPr>
          <w:ilvl w:val="0"/>
          <w:numId w:val="1"/>
        </w:numPr>
      </w:pPr>
      <w:r>
        <w:rPr>
          <w:b/>
        </w:rPr>
        <w:t xml:space="preserve">Schema Mapping: </w:t>
      </w:r>
      <w:r>
        <w:t>Intelligent schema analysis and mapping that accounts for data type differences, naming conventions, partitioning strategies, and performance optimization patterns across source and target platforms.</w:t>
      </w:r>
    </w:p>
    <w:p>
      <w:pPr>
        <w:pStyle w:val="ListParagraph"/>
        <w:spacing w:after="80"/>
        <w:numPr>
          <w:ilvl w:val="0"/>
          <w:numId w:val="1"/>
        </w:numPr>
      </w:pPr>
      <w:r>
        <w:rPr>
          <w:b/>
        </w:rPr>
        <w:t xml:space="preserve">Validation Automation: </w:t>
      </w:r>
      <w:r>
        <w:t>Automated reconciliation frameworks that validate data completeness, accuracy, and consistency between legacy and modern platforms, reducing manual testing effort by 70%.</w:t>
      </w:r>
    </w:p>
    <w:p>
      <w:pPr>
        <w:pStyle w:val="Heading2"/>
      </w:pPr>
      <w:r>
        <w:rPr>
          <w:color w:val="0F4761"/>
          <w:sz w:val="32"/>
        </w:rPr>
        <w:t>5.2 Autonomous Agent Framework</w:t>
      </w:r>
    </w:p>
    <w:p>
      <w:pPr>
        <w:spacing w:after="160"/>
      </w:pPr>
      <w:r>
        <w:t>Mastech’s autonomous agent framework extends automation beyond migration into ongoing operations. Purpose-built AI agents manage pipeline orchestration, data quality monitoring, infrastructure optimization, and incident response, creating a self-managing data platform that scales without proportional headcount increases.</w:t>
      </w:r>
    </w:p>
    <w:p>
      <w:pPr>
        <w:pStyle w:val="ListParagraph"/>
        <w:spacing w:after="80"/>
        <w:numPr>
          <w:ilvl w:val="0"/>
          <w:numId w:val="1"/>
        </w:numPr>
      </w:pPr>
      <w:r>
        <w:rPr>
          <w:b/>
        </w:rPr>
        <w:t xml:space="preserve">Pipeline Orchestration Agents: </w:t>
      </w:r>
      <w:r>
        <w:t>AI agents that design, deploy, monitor, and remediate data pipelines based on declarative specifications, reducing pipeline development from days to hours and eliminating manual monitoring.</w:t>
      </w:r>
    </w:p>
    <w:p>
      <w:pPr>
        <w:pStyle w:val="ListParagraph"/>
        <w:spacing w:after="80"/>
        <w:numPr>
          <w:ilvl w:val="0"/>
          <w:numId w:val="1"/>
        </w:numPr>
      </w:pPr>
      <w:r>
        <w:rPr>
          <w:b/>
        </w:rPr>
        <w:t xml:space="preserve">Quality Assurance Agents: </w:t>
      </w:r>
      <w:r>
        <w:t>Continuous data quality monitoring with automatic anomaly detection, root cause analysis, and remediation recommendations that maintain data trust without manual intervention.</w:t>
      </w:r>
    </w:p>
    <w:p>
      <w:pPr>
        <w:pStyle w:val="ListParagraph"/>
        <w:spacing w:after="80"/>
        <w:numPr>
          <w:ilvl w:val="0"/>
          <w:numId w:val="1"/>
        </w:numPr>
      </w:pPr>
      <w:r>
        <w:rPr>
          <w:b/>
        </w:rPr>
        <w:t xml:space="preserve">Infrastructure Optimization Agents: </w:t>
      </w:r>
      <w:r>
        <w:t>Real-time workload analysis and resource optimization that automatically adjusts cluster configurations, storage tiers, and compute allocation to minimize cost while maintaining performance SLAs.</w:t>
      </w:r>
    </w:p>
    <w:p>
      <w:pPr>
        <w:pStyle w:val="Heading2"/>
      </w:pPr>
      <w:r>
        <w:rPr>
          <w:color w:val="0F4761"/>
          <w:sz w:val="32"/>
        </w:rPr>
        <w:t>5.3 Databricks Well-Architected Alignment</w:t>
      </w:r>
    </w:p>
    <w:p>
      <w:pPr>
        <w:spacing w:after="160"/>
      </w:pPr>
      <w:r>
        <w:t>Every Mastech implementation is designed and validated against the Databricks Well-Architected Framework, ensuring that the resulting architecture meets enterprise standards for reliability, security, cost optimization, performance efficiency, and operational excellence. This alignment is not a one-time assessment but an ongoing governance practice embedded in the operational framework.</w:t>
      </w:r>
    </w:p>
    <w:p>
      <w:pPr>
        <w:pStyle w:val="Heading2"/>
      </w:pPr>
      <w:r>
        <w:rPr>
          <w:color w:val="0F4761"/>
          <w:sz w:val="32"/>
        </w:rPr>
        <w:t>5.4 8-Dimensional Operations Framework</w:t>
      </w:r>
    </w:p>
    <w:p>
      <w:pPr>
        <w:spacing w:after="160"/>
      </w:pPr>
      <w:r>
        <w:t>Mastech’s proprietary 8-dimensional operations framework provides comprehensive operational coverage that goes far beyond traditional monitoring and alerting. Each dimension—performance, cost, security, governance, availability, scalability, observability, and compliance—is managed by dedicated automation and measured against defined KPIs, ensuring holistic platform health and continuous optimization.</w:t>
      </w:r>
    </w:p>
    <w:p>
      <w:r>
        <w:br w:type="page"/>
      </w:r>
    </w:p>
    <w:p>
      <w:pPr>
        <w:pStyle w:val="Heading1"/>
      </w:pPr>
      <w:r>
        <w:rPr>
          <w:color w:val="0F4761"/>
          <w:sz w:val="40"/>
        </w:rPr>
        <w:t>6. Technology Roadmap Alignment</w:t>
      </w:r>
    </w:p>
    <w:p>
      <w:pPr>
        <w:spacing w:after="160"/>
      </w:pPr>
      <w:r>
        <w:t>For CDOs and CTOs making multi-year platform investments, alignment with the technology vendor’s product roadmap and broader industry trajectory is critical. Mastech’s offerings are designed not only for today’s Databricks capabilities but are architecturally positioned to leverage upcoming platform enhancements and industry trends, protecting the investment against technological obsolescence.</w:t>
      </w:r>
    </w:p>
    <w:p>
      <w:pPr>
        <w:pStyle w:val="Heading2"/>
      </w:pPr>
      <w:r>
        <w:rPr>
          <w:color w:val="0F4761"/>
          <w:sz w:val="32"/>
        </w:rPr>
        <w:t>6.1 Databricks Lakeflow</w:t>
      </w:r>
    </w:p>
    <w:p>
      <w:pPr>
        <w:spacing w:after="160"/>
      </w:pPr>
      <w:r>
        <w:t>Databricks Lakeflow represents the next generation of data engineering and integration capabilities within the Lakehouse platform. Mastech’s Autonomous Data Engineering offering is architected to integrate natively with Lakeflow’s declarative pipeline capabilities, ensuring that investments in data engineering automation compound as the platform evolves.</w:t>
      </w:r>
    </w:p>
    <w:p>
      <w:pPr>
        <w:pStyle w:val="ListParagraph"/>
        <w:spacing w:after="80"/>
        <w:numPr>
          <w:ilvl w:val="0"/>
          <w:numId w:val="1"/>
        </w:numPr>
      </w:pPr>
      <w:r>
        <w:rPr>
          <w:b/>
        </w:rPr>
        <w:t xml:space="preserve">Lakeflow Connect: </w:t>
      </w:r>
      <w:r>
        <w:t>Simplified, no-code data ingestion from enterprise sources that extends Mastech’s autonomous pipeline capabilities to the data source layer.</w:t>
      </w:r>
    </w:p>
    <w:p>
      <w:pPr>
        <w:pStyle w:val="ListParagraph"/>
        <w:spacing w:after="80"/>
        <w:numPr>
          <w:ilvl w:val="0"/>
          <w:numId w:val="1"/>
        </w:numPr>
      </w:pPr>
      <w:r>
        <w:rPr>
          <w:b/>
        </w:rPr>
        <w:t xml:space="preserve">Lakeflow Pipelines: </w:t>
      </w:r>
      <w:r>
        <w:t>Declarative data transformation pipelines with built-in quality expectations that align with Mastech’s AI-driven quality monitoring framework.</w:t>
      </w:r>
    </w:p>
    <w:p>
      <w:pPr>
        <w:pStyle w:val="ListParagraph"/>
        <w:spacing w:after="80"/>
        <w:numPr>
          <w:ilvl w:val="0"/>
          <w:numId w:val="1"/>
        </w:numPr>
      </w:pPr>
      <w:r>
        <w:rPr>
          <w:b/>
        </w:rPr>
        <w:t xml:space="preserve">Seamless Evolution: </w:t>
      </w:r>
      <w:r>
        <w:t>Mastech’s agent-based architecture is designed to leverage Lakeflow capabilities as they mature, providing a smooth evolution path that avoids rework or re-architecture.</w:t>
      </w:r>
    </w:p>
    <w:p>
      <w:pPr>
        <w:pStyle w:val="Heading2"/>
      </w:pPr>
      <w:r>
        <w:rPr>
          <w:color w:val="0F4761"/>
          <w:sz w:val="32"/>
        </w:rPr>
        <w:t>6.2 AI Agents and Compound AI Systems</w:t>
      </w:r>
    </w:p>
    <w:p>
      <w:pPr>
        <w:spacing w:after="160"/>
      </w:pPr>
      <w:r>
        <w:t>The industry is moving rapidly toward compound AI systems—architectures that combine multiple AI models, retrieval systems, and tool-use capabilities into integrated agent workflows. Databricks’ investments in Mosaic AI, agent frameworks, and function calling capabilities align directly with Mastech’s autonomous agent approach.</w:t>
      </w:r>
    </w:p>
    <w:p>
      <w:pPr>
        <w:pStyle w:val="ListParagraph"/>
        <w:spacing w:after="80"/>
        <w:numPr>
          <w:ilvl w:val="0"/>
          <w:numId w:val="1"/>
        </w:numPr>
      </w:pPr>
      <w:r>
        <w:rPr>
          <w:b/>
        </w:rPr>
        <w:t xml:space="preserve">Mosaic AI: </w:t>
      </w:r>
      <w:r>
        <w:t>Databricks’ AI platform for building, deploying, and governing compound AI systems, providing the infrastructure layer that Mastech’s autonomous agents leverage for enterprise-grade AI operations.</w:t>
      </w:r>
    </w:p>
    <w:p>
      <w:pPr>
        <w:pStyle w:val="ListParagraph"/>
        <w:spacing w:after="80"/>
        <w:numPr>
          <w:ilvl w:val="0"/>
          <w:numId w:val="1"/>
        </w:numPr>
      </w:pPr>
      <w:r>
        <w:rPr>
          <w:b/>
        </w:rPr>
        <w:t xml:space="preserve">Agent Framework Evolution: </w:t>
      </w:r>
      <w:r>
        <w:t>As Databricks expands its native agent capabilities, Mastech’s existing agent architecture is designed to incorporate these capabilities, amplifying automation depth and breadth.</w:t>
      </w:r>
    </w:p>
    <w:p>
      <w:pPr>
        <w:pStyle w:val="ListParagraph"/>
        <w:spacing w:after="80"/>
        <w:numPr>
          <w:ilvl w:val="0"/>
          <w:numId w:val="1"/>
        </w:numPr>
      </w:pPr>
      <w:r>
        <w:rPr>
          <w:b/>
        </w:rPr>
        <w:t xml:space="preserve">Compound AI Systems: </w:t>
      </w:r>
      <w:r>
        <w:t>The convergence of Mastech’s domain-specific agents with Databricks’ platform-level AI capabilities creates compound AI systems that can manage increasingly complex data and analytics workflows autonomously.</w:t>
      </w:r>
    </w:p>
    <w:p>
      <w:pPr>
        <w:pStyle w:val="Heading2"/>
      </w:pPr>
      <w:r>
        <w:rPr>
          <w:color w:val="0F4761"/>
          <w:sz w:val="32"/>
        </w:rPr>
        <w:t>6.3 Industry Trend Alignment</w:t>
      </w:r>
    </w:p>
    <w:p>
      <w:pPr>
        <w:spacing w:after="160"/>
      </w:pPr>
      <w:r>
        <w:t>Mastech’s offerings are aligned with the broader industry trends that will define enterprise data and AI strategy over the next 3–5 years, ensuring that investments made today remain relevant and continue to deliver value as the technology landscape evolves.</w:t>
      </w:r>
    </w:p>
    <w:p>
      <w:pPr>
        <w:pStyle w:val="ListParagraph"/>
        <w:spacing w:after="80"/>
        <w:numPr>
          <w:ilvl w:val="0"/>
          <w:numId w:val="1"/>
        </w:numPr>
      </w:pPr>
      <w:r>
        <w:rPr>
          <w:b/>
        </w:rPr>
        <w:t xml:space="preserve">Data Mesh and Data Products: </w:t>
      </w:r>
      <w:r>
        <w:t>The Lakehouse architecture supports data mesh principles—domain-oriented data ownership, self-serve infrastructure, and federated governance—enabling organizations to evolve toward a data product model.</w:t>
      </w:r>
    </w:p>
    <w:p>
      <w:pPr>
        <w:pStyle w:val="ListParagraph"/>
        <w:spacing w:after="80"/>
        <w:numPr>
          <w:ilvl w:val="0"/>
          <w:numId w:val="1"/>
        </w:numPr>
      </w:pPr>
      <w:r>
        <w:rPr>
          <w:b/>
        </w:rPr>
        <w:t xml:space="preserve">Real-Time and Streaming: </w:t>
      </w:r>
      <w:r>
        <w:t>Structured Streaming and Delta Live Tables support the shift from batch to real-time data processing, a trend that is accelerating across all industries and use cases.</w:t>
      </w:r>
    </w:p>
    <w:p>
      <w:pPr>
        <w:pStyle w:val="ListParagraph"/>
        <w:spacing w:after="80"/>
        <w:numPr>
          <w:ilvl w:val="0"/>
          <w:numId w:val="1"/>
        </w:numPr>
      </w:pPr>
      <w:r>
        <w:rPr>
          <w:b/>
        </w:rPr>
        <w:t xml:space="preserve">Governance and Trust: </w:t>
      </w:r>
      <w:r>
        <w:t>As AI governance regulations mature (EU AI Act, emerging US frameworks), Unity Catalog’s comprehensive governance capabilities provide a future-proof compliance foundation.</w:t>
      </w:r>
    </w:p>
    <w:p>
      <w:pPr>
        <w:pStyle w:val="ListParagraph"/>
        <w:spacing w:after="80"/>
        <w:numPr>
          <w:ilvl w:val="0"/>
          <w:numId w:val="1"/>
        </w:numPr>
      </w:pPr>
      <w:r>
        <w:rPr>
          <w:b/>
        </w:rPr>
        <w:t xml:space="preserve">Sustainability: </w:t>
      </w:r>
      <w:r>
        <w:t>Cloud-native, consumption-based compute inherently reduces energy waste compared to always-on legacy infrastructure, aligning with corporate sustainability commitments.</w:t>
      </w:r>
    </w:p>
    <w:p>
      <w:r>
        <w:br w:type="page"/>
      </w:r>
    </w:p>
    <w:p>
      <w:pPr>
        <w:pStyle w:val="Heading1"/>
      </w:pPr>
      <w:r>
        <w:rPr>
          <w:color w:val="0F4761"/>
          <w:sz w:val="40"/>
        </w:rPr>
        <w:t>7. Conclusion</w:t>
      </w:r>
    </w:p>
    <w:p>
      <w:pPr>
        <w:spacing w:after="160"/>
      </w:pPr>
      <w:r>
        <w:t>The CDO/CTO agenda demands a technology foundation that simultaneously enables data democratization, AI/ML at scale, cloud modernization, data quality and trust, and operational excellence. The Databricks Lakehouse platform, implemented through Mastech Digital’s AI-first methodology, provides this unified foundation while eliminating the architectural fragmentation, governance gaps, and operational complexity that characterize legacy data environments.</w:t>
      </w:r>
    </w:p>
    <w:p>
      <w:pPr>
        <w:spacing w:after="160"/>
      </w:pPr>
      <w:r>
        <w:t>Mastech’s portfolio of five interconnected service offerings maps directly to these strategic priorities, providing a clear implementation pathway that delivers measurable outcomes at each phase. The SLM-based automation and autonomous agent framework ensure that the transformation is executed faster, at lower risk, and with superior economics compared to traditional implementation approaches.</w:t>
      </w:r>
    </w:p>
    <w:p>
      <w:pPr>
        <w:spacing w:after="160"/>
      </w:pPr>
      <w:r>
        <w:t>We recommend beginning with a Technical Discovery Workshop, where Mastech’s solution architects will assess the current-state data landscape, map modernization priorities to strategic objectives, and develop a phased implementation roadmap that aligns with the organization’s technology strategy and resource capacity. This workshop provides the technical depth required for CDO/CTO evaluation while establishing the foundation for a defensible investment case.</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Pr>
    <w:r>
      <w:rPr>
        <w:color w:val="595959"/>
        <w:sz w:val="18"/>
      </w:rPr>
      <w:t>Intended for internal use and client delivery</w:t>
    </w:r>
    <w:r>
      <w:tab/>
    </w:r>
    <w:r>
      <w:tab/>
    </w:r>
    <w:r>
      <w:fldChar w:fldCharType="begin"/>
    </w:r>
    <w:r>
      <w:instrText>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