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
    <w:p>
      <w:pPr/>
    </w:p>
    <w:p>
      <w:pPr/>
    </w:p>
    <w:p>
      <w:pPr/>
    </w:p>
    <w:p>
      <w:pPr/>
    </w:p>
    <w:p>
      <w:pPr/>
    </w:p>
    <w:p>
      <w:pPr>
        <w:pStyle w:val="Title"/>
      </w:pPr>
      <w:r>
        <w:rPr>
          <w:color w:val="0F4761"/>
          <w:sz w:val="72"/>
        </w:rPr>
        <w:t>Sales Collateral – Champion</w:t>
      </w:r>
    </w:p>
    <w:p>
      <w:pPr>
        <w:pStyle w:val="Title"/>
      </w:pPr>
      <w:r>
        <w:rPr>
          <w:color w:val="0F4761"/>
          <w:sz w:val="72"/>
        </w:rPr>
        <w:t>Executive Presentation Narrative</w:t>
      </w:r>
    </w:p>
    <w:p>
      <w:pPr/>
    </w:p>
    <w:p>
      <w:pPr>
        <w:pStyle w:val="Subtitle"/>
      </w:pPr>
      <w:r>
        <w:rPr>
          <w:i/>
          <w:color w:val="595959"/>
          <w:sz w:val="28"/>
        </w:rPr>
        <w:t>A Storytelling Framework for Internal Business Case Presentation</w:t>
      </w:r>
    </w:p>
    <w:p>
      <w:pPr/>
    </w:p>
    <w:p>
      <w:pPr/>
    </w:p>
    <w:p>
      <w:pPr/>
    </w:p>
    <w:p>
      <w:pPr/>
      <w:r>
        <w:rPr>
          <w:b/>
          <w:color w:val="0F4761"/>
          <w:sz w:val="28"/>
        </w:rPr>
        <w:t>Mastech Digital | Databricks Practice</w:t>
      </w:r>
    </w:p>
    <w:p>
      <w:pPr/>
      <w:r>
        <w:rPr>
          <w:i/>
          <w:color w:val="595959"/>
          <w:sz w:val="22"/>
        </w:rPr>
        <w:t>Confidential</w:t>
      </w:r>
    </w:p>
    <w:p>
      <w:r>
        <w:br w:type="page"/>
      </w:r>
    </w:p>
    <w:p>
      <w:pPr>
        <w:pStyle w:val="Heading1"/>
      </w:pPr>
      <w:r>
        <w:rPr>
          <w:color w:val="0F4761"/>
          <w:sz w:val="40"/>
        </w:rPr>
        <w:t>1. Executive Summary</w:t>
      </w:r>
    </w:p>
    <w:p>
      <w:pPr/>
      <w:r>
        <w:rPr>
          <w:sz w:val="22"/>
        </w:rPr>
        <w:t>This document provides a complete narrative framework for the Champion to present the Databricks transformation business case to executive leadership. Unlike a traditional slide deck, this narrative is designed to tell a compelling story that moves executives from awareness to action—following the proven storytelling arc of establishing urgency, painting a vision, detailing the solution, quantifying the value, and making a clear ask.</w:t>
      </w:r>
    </w:p>
    <w:p>
      <w:pPr/>
      <w:r>
        <w:rPr>
          <w:sz w:val="22"/>
        </w:rPr>
        <w:t>The five-act structure mirrors the decision-making process that executives follow when evaluating strategic investments: Why should we change? What does the future look like? How do we get there? Is it worth it? What do we do next? By addressing each of these questions in sequence, the narrative builds a logical, emotionally resonant case that overcomes inertia and drives commitment.</w:t>
      </w:r>
    </w:p>
    <w:p>
      <w:pPr/>
      <w:r>
        <w:rPr>
          <w:sz w:val="22"/>
        </w:rPr>
        <w:t>Champions should use this framework as the backbone of their executive presentation, customizing the specific data points, examples, and competitive references to their organization’s unique context. The narrative is designed to work as a 30–45 minute presentation with 15 minutes reserved for discussion. Each act includes suggested talking points, supporting evidence, and transition language that maintains narrative flow throughout the presentation.</w:t>
      </w:r>
    </w:p>
    <w:p>
      <w:pPr>
        <w:pStyle w:val="Heading1"/>
      </w:pPr>
      <w:r>
        <w:rPr>
          <w:color w:val="0F4761"/>
          <w:sz w:val="40"/>
        </w:rPr>
        <w:t>2. The Presentation Structure</w:t>
      </w:r>
    </w:p>
    <w:p>
      <w:pPr/>
      <w:r>
        <w:rPr>
          <w:sz w:val="22"/>
        </w:rPr>
        <w:t>The executive presentation follows a five-act narrative structure, each designed to address a specific question in the executive’s mind. The structure moves from emotional engagement (why change) through rational justification (business case) to actionable next steps (the ask). This progression mirrors the psychological journey that decision-makers must travel to commit to a significant strategic investment.</w:t>
      </w:r>
    </w:p>
    <w:p>
      <w:pPr>
        <w:pStyle w:val="Heading2"/>
      </w:pPr>
      <w:r>
        <w:rPr>
          <w:color w:val="0F4761"/>
          <w:sz w:val="32"/>
        </w:rPr>
        <w:t>Beginning: Why Change (Acts I–II)</w:t>
      </w:r>
    </w:p>
    <w:p>
      <w:pPr/>
      <w:r>
        <w:rPr>
          <w:sz w:val="22"/>
        </w:rPr>
        <w:t>The first two acts establish urgency and paint a vision. Act I creates the “burning platform”—the compelling case for why the status quo is untenable and action must be taken now. Act II presents the aspirational future state, showing executives what “good” looks like and connecting that vision to their strategic priorities. Together, these acts create the emotional engagement that makes executives receptive to the detailed solution and business case that follow.</w:t>
      </w:r>
    </w:p>
    <w:p>
      <w:pPr>
        <w:pStyle w:val="Heading2"/>
      </w:pPr>
      <w:r>
        <w:rPr>
          <w:color w:val="0F4761"/>
          <w:sz w:val="32"/>
        </w:rPr>
        <w:t>Middle: What &amp; How (Acts III–IV)</w:t>
      </w:r>
    </w:p>
    <w:p>
      <w:pPr/>
      <w:r>
        <w:rPr>
          <w:sz w:val="22"/>
        </w:rPr>
        <w:t>Acts III and IV deliver the rational substance of the presentation. Act III details the specific solution—Mastech Digital’s five integrated Databricks offerings, the implementation approach, and the risk mitigation strategy. Act IV presents the financial business case with investment requirements, projected returns, and payback timelines. These acts must be rich with quantified evidence and specific enough to satisfy both technically-minded and financially-oriented executives.</w:t>
      </w:r>
    </w:p>
    <w:p>
      <w:pPr>
        <w:pStyle w:val="Heading2"/>
      </w:pPr>
      <w:r>
        <w:rPr>
          <w:color w:val="0F4761"/>
          <w:sz w:val="32"/>
        </w:rPr>
        <w:t>End: Business Case &amp; Next Steps (Act V)</w:t>
      </w:r>
    </w:p>
    <w:p>
      <w:pPr/>
      <w:r>
        <w:rPr>
          <w:sz w:val="22"/>
        </w:rPr>
        <w:t>Act V translates the entire narrative into a specific, actionable request. Executives appreciate clarity—they want to know exactly what you are asking them to approve, what it costs, what it requires, and what happens next. A clear ask prevents the conversation from ending with “interesting, let’s think about it” and instead drives toward a concrete decision or next step.</w:t>
      </w:r>
    </w:p>
    <w:p>
      <w:pPr>
        <w:pStyle w:val="Heading1"/>
      </w:pPr>
      <w:r>
        <w:rPr>
          <w:color w:val="0F4761"/>
          <w:sz w:val="40"/>
        </w:rPr>
        <w:t>3. Act I – The Burning Platform (Why Change Now)</w:t>
      </w:r>
    </w:p>
    <w:p>
      <w:pPr/>
      <w:r>
        <w:rPr>
          <w:sz w:val="22"/>
        </w:rPr>
        <w:t>The goal of Act I is to create a shared sense of urgency among the executive audience. This is not about fear-mongering—it’s about presenting an honest, data-driven assessment of the current trajectory and its implications. The most effective burning platforms combine industry context (what is happening in the market) with internal context (what it means for our organization) and competitive pressure (what our peers are doing). This section should take approximately 8–10 minutes of the presentation.</w:t>
      </w:r>
    </w:p>
    <w:p>
      <w:pPr>
        <w:pStyle w:val="Heading2"/>
      </w:pPr>
      <w:r>
        <w:rPr>
          <w:color w:val="0F4761"/>
          <w:sz w:val="32"/>
        </w:rPr>
        <w:t>3.1 Industry Context</w:t>
      </w:r>
    </w:p>
    <w:p>
      <w:pPr/>
      <w:r>
        <w:rPr>
          <w:sz w:val="22"/>
        </w:rPr>
        <w:t>The data and AI landscape is undergoing a fundamental transformation that will reshape competitive dynamics across every industry. Organizations that fail to adapt will find themselves at an accelerating disadvantage as data-driven competitors capture market share, improve operational efficiency, and deliver superior customer experiences. The following industry trends set the stage for the urgency of platform modernization.</w:t>
      </w:r>
    </w:p>
    <w:p>
      <w:pPr>
        <w:pStyle w:val="ListParagraph"/>
        <w:numPr>
          <w:ilvl w:val="0"/>
          <w:numId w:val="2"/>
        </w:numPr>
      </w:pPr>
      <w:r>
        <w:rPr>
          <w:b/>
          <w:sz w:val="22"/>
        </w:rPr>
        <w:t xml:space="preserve">Data Volume Explosion: </w:t>
      </w:r>
      <w:r>
        <w:rPr>
          <w:sz w:val="22"/>
        </w:rPr>
        <w:t>Enterprise data volumes are growing 25–30% annually, driven by IoT, digital interactions, and the proliferation of data-generating applications. Legacy data platforms were not designed for this scale and are reaching capacity limits that constrain business growth.</w:t>
      </w:r>
    </w:p>
    <w:p>
      <w:pPr>
        <w:pStyle w:val="ListParagraph"/>
        <w:numPr>
          <w:ilvl w:val="0"/>
          <w:numId w:val="2"/>
        </w:numPr>
      </w:pPr>
      <w:r>
        <w:rPr>
          <w:b/>
          <w:sz w:val="22"/>
        </w:rPr>
        <w:t xml:space="preserve">AI as Competitive Imperative: </w:t>
      </w:r>
      <w:r>
        <w:rPr>
          <w:sz w:val="22"/>
        </w:rPr>
        <w:t>Artificial intelligence is no longer a future possibility—it is a present-day competitive weapon. Organizations that can deploy AI at scale for customer personalization, operational optimization, and product innovation are pulling ahead of those still running on traditional analytics.</w:t>
      </w:r>
    </w:p>
    <w:p>
      <w:pPr>
        <w:pStyle w:val="ListParagraph"/>
        <w:numPr>
          <w:ilvl w:val="0"/>
          <w:numId w:val="2"/>
        </w:numPr>
      </w:pPr>
      <w:r>
        <w:rPr>
          <w:b/>
          <w:sz w:val="22"/>
        </w:rPr>
        <w:t xml:space="preserve">Talent Market Shift: </w:t>
      </w:r>
      <w:r>
        <w:rPr>
          <w:sz w:val="22"/>
        </w:rPr>
        <w:t>The engineering talent market is shifting decisively toward modern cloud-native platforms. Organizations running legacy systems face increasing difficulty attracting and retaining top talent, while those on modern platforms like Databricks have a significant recruiting advantage.</w:t>
      </w:r>
    </w:p>
    <w:p>
      <w:pPr>
        <w:pStyle w:val="ListParagraph"/>
        <w:numPr>
          <w:ilvl w:val="0"/>
          <w:numId w:val="2"/>
        </w:numPr>
      </w:pPr>
      <w:r>
        <w:rPr>
          <w:b/>
          <w:sz w:val="22"/>
        </w:rPr>
        <w:t xml:space="preserve">Regulatory Complexity: </w:t>
      </w:r>
      <w:r>
        <w:rPr>
          <w:sz w:val="22"/>
        </w:rPr>
        <w:t>Data governance, privacy regulations, and AI ethics requirements are becoming more stringent. Legacy platforms lack the unified governance capabilities needed to comply efficiently, creating both compliance risk and operational overhead.</w:t>
      </w:r>
    </w:p>
    <w:p>
      <w:pPr>
        <w:pStyle w:val="Heading2"/>
      </w:pPr>
      <w:r>
        <w:rPr>
          <w:color w:val="0F4761"/>
          <w:sz w:val="32"/>
        </w:rPr>
        <w:t>3.2 Internal Context</w:t>
      </w:r>
    </w:p>
    <w:p>
      <w:pPr/>
      <w:r>
        <w:rPr>
          <w:sz w:val="22"/>
        </w:rPr>
        <w:t>While industry trends create the external imperative, the internal context makes it personal. Champions should customize this section with specific data points from their organization—actual costs, actual pain points, actual constraints. The more specific and quantified the internal context, the more compelling the case for change.</w:t>
      </w:r>
    </w:p>
    <w:p>
      <w:pPr>
        <w:pStyle w:val="ListParagraph"/>
        <w:numPr>
          <w:ilvl w:val="0"/>
          <w:numId w:val="2"/>
        </w:numPr>
      </w:pPr>
      <w:r>
        <w:rPr>
          <w:b/>
          <w:sz w:val="22"/>
        </w:rPr>
        <w:t xml:space="preserve">Legacy Cost Escalation: </w:t>
      </w:r>
      <w:r>
        <w:rPr>
          <w:sz w:val="22"/>
        </w:rPr>
        <w:t>Our data infrastructure costs are increasing year-over-year through license renewals, maintenance contracts, and the growing headcount needed to manage aging systems. This trajectory is unsustainable and diverts budget from innovation to maintenance.</w:t>
      </w:r>
    </w:p>
    <w:p>
      <w:pPr>
        <w:pStyle w:val="ListParagraph"/>
        <w:numPr>
          <w:ilvl w:val="0"/>
          <w:numId w:val="2"/>
        </w:numPr>
      </w:pPr>
      <w:r>
        <w:rPr>
          <w:b/>
          <w:sz w:val="22"/>
        </w:rPr>
        <w:t xml:space="preserve">Talent Challenges: </w:t>
      </w:r>
      <w:r>
        <w:rPr>
          <w:sz w:val="22"/>
        </w:rPr>
        <w:t>We are struggling to recruit engineers willing to work on legacy platforms. Our average time-to-fill for data engineering roles is extended, and attrition among engineers frustrated with legacy tooling creates a vicious cycle of knowledge loss and operational risk.</w:t>
      </w:r>
    </w:p>
    <w:p>
      <w:pPr>
        <w:pStyle w:val="ListParagraph"/>
        <w:numPr>
          <w:ilvl w:val="0"/>
          <w:numId w:val="2"/>
        </w:numPr>
      </w:pPr>
      <w:r>
        <w:rPr>
          <w:b/>
          <w:sz w:val="22"/>
        </w:rPr>
        <w:t xml:space="preserve">Governance Gaps: </w:t>
      </w:r>
      <w:r>
        <w:rPr>
          <w:sz w:val="22"/>
        </w:rPr>
        <w:t>Our current governance model spans multiple disparate tools with no unified lineage, access control, or audit trail. This creates compliance risk, slows data access approvals, and makes it impossible to answer basic questions about data quality and provenance.</w:t>
      </w:r>
    </w:p>
    <w:p>
      <w:pPr>
        <w:pStyle w:val="ListParagraph"/>
        <w:numPr>
          <w:ilvl w:val="0"/>
          <w:numId w:val="2"/>
        </w:numPr>
      </w:pPr>
      <w:r>
        <w:rPr>
          <w:b/>
          <w:sz w:val="22"/>
        </w:rPr>
        <w:t xml:space="preserve">Innovation Bottleneck: </w:t>
      </w:r>
      <w:r>
        <w:rPr>
          <w:sz w:val="22"/>
        </w:rPr>
        <w:t>Our data science team has models in development but few in production. The gap between prototype and production represents millions in unrealized value and competitive advantage that remains on the whiteboard.</w:t>
      </w:r>
    </w:p>
    <w:p>
      <w:pPr>
        <w:pStyle w:val="Heading2"/>
      </w:pPr>
      <w:r>
        <w:rPr>
          <w:color w:val="0F4761"/>
          <w:sz w:val="32"/>
        </w:rPr>
        <w:t>3.3 Competitive Pressure</w:t>
      </w:r>
    </w:p>
    <w:p>
      <w:pPr/>
      <w:r>
        <w:rPr>
          <w:sz w:val="22"/>
        </w:rPr>
        <w:t>Competitive context is often the most powerful motivator for executive action. No executive wants to be the one who allowed the organization to fall behind while competitors modernized. Champions should research and reference specific competitors or industry peers who have invested in data platform modernization.</w:t>
      </w:r>
    </w:p>
    <w:p>
      <w:pPr>
        <w:pStyle w:val="ListParagraph"/>
        <w:numPr>
          <w:ilvl w:val="0"/>
          <w:numId w:val="2"/>
        </w:numPr>
      </w:pPr>
      <w:r>
        <w:rPr>
          <w:b/>
          <w:sz w:val="22"/>
        </w:rPr>
        <w:t xml:space="preserve">Peer Modernization: </w:t>
      </w:r>
      <w:r>
        <w:rPr>
          <w:sz w:val="22"/>
        </w:rPr>
        <w:t>Industry peers have publicly announced or are known to be investing in modern data and AI platforms. Their ability to leverage AI for enhanced capabilities gives them advantages in business outcomes that will compound over time.</w:t>
      </w:r>
    </w:p>
    <w:p>
      <w:pPr>
        <w:pStyle w:val="ListParagraph"/>
        <w:numPr>
          <w:ilvl w:val="0"/>
          <w:numId w:val="2"/>
        </w:numPr>
      </w:pPr>
      <w:r>
        <w:rPr>
          <w:b/>
          <w:sz w:val="22"/>
        </w:rPr>
        <w:t xml:space="preserve">First-Mover Advantage in AI: </w:t>
      </w:r>
      <w:r>
        <w:rPr>
          <w:sz w:val="22"/>
        </w:rPr>
        <w:t>Organizations that establish AI capabilities early build compounding advantages through data flywheel effects: more data enables better models, which enable better products, which generate more data. Delay means falling behind a curve that accelerates over time.</w:t>
      </w:r>
    </w:p>
    <w:p>
      <w:pPr>
        <w:pStyle w:val="ListParagraph"/>
        <w:numPr>
          <w:ilvl w:val="0"/>
          <w:numId w:val="2"/>
        </w:numPr>
      </w:pPr>
      <w:r>
        <w:rPr>
          <w:b/>
          <w:sz w:val="22"/>
        </w:rPr>
        <w:t xml:space="preserve">Digital-Native Disruption: </w:t>
      </w:r>
      <w:r>
        <w:rPr>
          <w:sz w:val="22"/>
        </w:rPr>
        <w:t>Digital-native competitors—born on modern platforms—are entering our market with fundamentally lower cost structures and faster innovation cycles. Competing effectively requires similar platform capabilities, not incremental improvements to legacy systems.</w:t>
      </w:r>
    </w:p>
    <w:p>
      <w:pPr>
        <w:pStyle w:val="Heading2"/>
      </w:pPr>
      <w:r>
        <w:rPr>
          <w:color w:val="0F4761"/>
          <w:sz w:val="32"/>
        </w:rPr>
        <w:t>3.4 The Cost of Inaction</w:t>
      </w:r>
    </w:p>
    <w:p>
      <w:pPr/>
      <w:r>
        <w:rPr>
          <w:sz w:val="22"/>
        </w:rPr>
        <w:t>The cost of inaction is the most powerful element of the burning platform because it reframes the decision from “should we invest?” to “can we afford not to?” Champions should quantify the cost of inaction using their organization’s actual data wherever possible.</w:t>
      </w:r>
    </w:p>
    <w:p>
      <w:pPr>
        <w:pStyle w:val="ListParagraph"/>
        <w:numPr>
          <w:ilvl w:val="0"/>
          <w:numId w:val="2"/>
        </w:numPr>
      </w:pPr>
      <w:r>
        <w:rPr>
          <w:b/>
          <w:sz w:val="22"/>
        </w:rPr>
        <w:t xml:space="preserve">Financial Cost: </w:t>
      </w:r>
      <w:r>
        <w:rPr>
          <w:sz w:val="22"/>
        </w:rPr>
        <w:t>Maintaining the current trajectory for three more years projects to significant cumulative legacy costs—licensing, maintenance, labor, incidents—with no improvement in capability. This amount typically exceeds the total modernization investment by 2–3x.</w:t>
      </w:r>
    </w:p>
    <w:p>
      <w:pPr>
        <w:pStyle w:val="ListParagraph"/>
        <w:numPr>
          <w:ilvl w:val="0"/>
          <w:numId w:val="2"/>
        </w:numPr>
      </w:pPr>
      <w:r>
        <w:rPr>
          <w:b/>
          <w:sz w:val="22"/>
        </w:rPr>
        <w:t xml:space="preserve">Opportunity Cost: </w:t>
      </w:r>
      <w:r>
        <w:rPr>
          <w:sz w:val="22"/>
        </w:rPr>
        <w:t>Every quarter of delay represents models not deployed, business users without self-service analytics, and higher operational costs than a modernized platform. The cumulative opportunity cost of 12 months of delay is substantial and quantifiable.</w:t>
      </w:r>
    </w:p>
    <w:p>
      <w:pPr>
        <w:pStyle w:val="ListParagraph"/>
        <w:numPr>
          <w:ilvl w:val="0"/>
          <w:numId w:val="2"/>
        </w:numPr>
      </w:pPr>
      <w:r>
        <w:rPr>
          <w:b/>
          <w:sz w:val="22"/>
        </w:rPr>
        <w:t xml:space="preserve">Risk Cost: </w:t>
      </w:r>
      <w:r>
        <w:rPr>
          <w:sz w:val="22"/>
        </w:rPr>
        <w:t>Legacy platforms accumulate risk: vendor end-of-support timelines, shrinking talent availability, growing technical debt, and increasing regulatory compliance gaps. The probability and impact of a major operational or compliance incident increases with every year of delay.</w:t>
      </w:r>
    </w:p>
    <w:p>
      <w:pPr>
        <w:pStyle w:val="Heading1"/>
      </w:pPr>
      <w:r>
        <w:rPr>
          <w:color w:val="0F4761"/>
          <w:sz w:val="40"/>
        </w:rPr>
        <w:t>4. Act II – The Vision (What Does Good Look Like)</w:t>
      </w:r>
    </w:p>
    <w:p>
      <w:pPr/>
      <w:r>
        <w:rPr>
          <w:sz w:val="22"/>
        </w:rPr>
        <w:t>After establishing urgency, Act II paints an aspirational picture of the future state—what the organization looks like after modernization. This vision should be ambitious but achievable, specific enough to be credible, and connected to the strategic priorities that executives care about most. The goal is to create a sense of possibility that motivates action. This section should take approximately 5–7 minutes of the presentation.</w:t>
      </w:r>
    </w:p>
    <w:p>
      <w:pPr>
        <w:pStyle w:val="Heading2"/>
      </w:pPr>
      <w:r>
        <w:rPr>
          <w:color w:val="0F4761"/>
          <w:sz w:val="32"/>
        </w:rPr>
        <w:t>4.1 Unified Data + AI Platform on Databricks</w:t>
      </w:r>
    </w:p>
    <w:p>
      <w:pPr/>
      <w:r>
        <w:rPr>
          <w:sz w:val="22"/>
        </w:rPr>
        <w:t>Imagine a single, governed platform where all of our data—structured, semi-structured, and unstructured—is stored in open formats and accessible to every authorized user and application. No more data silos. No more extract-and-load cycles between disparate systems. No more governance gaps between data engineering and data science. This is the Databricks Lakehouse—a unified foundation that supports every data workload from SQL analytics to distributed AI model training on a single, governed platform.</w:t>
      </w:r>
    </w:p>
    <w:p>
      <w:pPr>
        <w:pStyle w:val="ListParagraph"/>
        <w:numPr>
          <w:ilvl w:val="0"/>
          <w:numId w:val="2"/>
        </w:numPr>
      </w:pPr>
      <w:r>
        <w:rPr>
          <w:b/>
          <w:sz w:val="22"/>
        </w:rPr>
        <w:t xml:space="preserve">Single Source of Truth: </w:t>
      </w:r>
      <w:r>
        <w:rPr>
          <w:sz w:val="22"/>
        </w:rPr>
        <w:t>All organizational data consolidated on Delta Lake with unified metadata, lineage, and access control through Unity Catalog.</w:t>
      </w:r>
    </w:p>
    <w:p>
      <w:pPr>
        <w:pStyle w:val="ListParagraph"/>
        <w:numPr>
          <w:ilvl w:val="0"/>
          <w:numId w:val="2"/>
        </w:numPr>
      </w:pPr>
      <w:r>
        <w:rPr>
          <w:b/>
          <w:sz w:val="22"/>
        </w:rPr>
        <w:t xml:space="preserve">Open Architecture: </w:t>
      </w:r>
      <w:r>
        <w:rPr>
          <w:sz w:val="22"/>
        </w:rPr>
        <w:t>Data stored in open formats (Delta/Parquet) in your own cloud storage, accessible by any compatible tool, eliminating vendor lock-in.</w:t>
      </w:r>
    </w:p>
    <w:p>
      <w:pPr>
        <w:pStyle w:val="ListParagraph"/>
        <w:numPr>
          <w:ilvl w:val="0"/>
          <w:numId w:val="2"/>
        </w:numPr>
      </w:pPr>
      <w:r>
        <w:rPr>
          <w:b/>
          <w:sz w:val="22"/>
        </w:rPr>
        <w:t xml:space="preserve">Elastic Scale: </w:t>
      </w:r>
      <w:r>
        <w:rPr>
          <w:sz w:val="22"/>
        </w:rPr>
        <w:t>Cloud-native architecture that scales compute independently of storage, handling any data volume or processing demand without capacity planning constraints.</w:t>
      </w:r>
    </w:p>
    <w:p>
      <w:pPr>
        <w:pStyle w:val="Heading2"/>
      </w:pPr>
      <w:r>
        <w:rPr>
          <w:color w:val="0F4761"/>
          <w:sz w:val="32"/>
        </w:rPr>
        <w:t>4.2 AI-Native Operations with Autonomous Agents</w:t>
      </w:r>
    </w:p>
    <w:p>
      <w:pPr/>
      <w:r>
        <w:rPr>
          <w:sz w:val="22"/>
        </w:rPr>
        <w:t>Picture a data platform that largely manages itself. AI agents monitor pipeline health, predict failures before they occur, auto-remediate issues, and continuously optimize performance and cost. Your data engineers shift from maintaining pipelines to innovating on new data products. Your platform team shifts from fighting fires to architecting the future.</w:t>
      </w:r>
    </w:p>
    <w:p>
      <w:pPr>
        <w:pStyle w:val="ListParagraph"/>
        <w:numPr>
          <w:ilvl w:val="0"/>
          <w:numId w:val="2"/>
        </w:numPr>
      </w:pPr>
      <w:r>
        <w:rPr>
          <w:b/>
          <w:sz w:val="22"/>
        </w:rPr>
        <w:t xml:space="preserve">Self-Healing Pipelines: </w:t>
      </w:r>
      <w:r>
        <w:rPr>
          <w:sz w:val="22"/>
        </w:rPr>
        <w:t>AI agents detect, diagnose, and resolve pipeline issues automatically, reducing mean time to resolution from hours to minutes.</w:t>
      </w:r>
    </w:p>
    <w:p>
      <w:pPr>
        <w:pStyle w:val="ListParagraph"/>
        <w:numPr>
          <w:ilvl w:val="0"/>
          <w:numId w:val="2"/>
        </w:numPr>
      </w:pPr>
      <w:r>
        <w:rPr>
          <w:b/>
          <w:sz w:val="22"/>
        </w:rPr>
        <w:t xml:space="preserve">Intelligent Cost Management: </w:t>
      </w:r>
      <w:r>
        <w:rPr>
          <w:sz w:val="22"/>
        </w:rPr>
        <w:t>Autonomous agents continuously optimize resource allocation, cluster sizing, and workload scheduling to minimize cloud spend without sacrificing performance.</w:t>
      </w:r>
    </w:p>
    <w:p>
      <w:pPr>
        <w:pStyle w:val="ListParagraph"/>
        <w:numPr>
          <w:ilvl w:val="0"/>
          <w:numId w:val="2"/>
        </w:numPr>
      </w:pPr>
      <w:r>
        <w:rPr>
          <w:b/>
          <w:sz w:val="22"/>
        </w:rPr>
        <w:t xml:space="preserve">Proactive Quality Assurance: </w:t>
      </w:r>
      <w:r>
        <w:rPr>
          <w:sz w:val="22"/>
        </w:rPr>
        <w:t>Data quality is monitored in real-time with automated anomaly detection, drift alerting, and remediation—ensuring downstream consumers always have trustworthy data.</w:t>
      </w:r>
    </w:p>
    <w:p>
      <w:pPr>
        <w:pStyle w:val="Heading2"/>
      </w:pPr>
      <w:r>
        <w:rPr>
          <w:color w:val="0F4761"/>
          <w:sz w:val="32"/>
        </w:rPr>
        <w:t>4.3 Self-Service Analytics for the Business</w:t>
      </w:r>
    </w:p>
    <w:p>
      <w:pPr/>
      <w:r>
        <w:rPr>
          <w:sz w:val="22"/>
        </w:rPr>
        <w:t>Envision a world where any business user can ask a question in plain English and receive an accurate, governed, visualized answer in seconds—without submitting a ticket, waiting for a report, or learning SQL. Business user adoption rises from today’s 15–25% to 90%+, unlocking the data-driven decision-making that leadership has long envisioned but never achieved.</w:t>
      </w:r>
    </w:p>
    <w:p>
      <w:pPr>
        <w:pStyle w:val="ListParagraph"/>
        <w:numPr>
          <w:ilvl w:val="0"/>
          <w:numId w:val="2"/>
        </w:numPr>
      </w:pPr>
      <w:r>
        <w:rPr>
          <w:b/>
          <w:sz w:val="22"/>
        </w:rPr>
        <w:t xml:space="preserve">Natural Language Interfaces: </w:t>
      </w:r>
      <w:r>
        <w:rPr>
          <w:sz w:val="22"/>
        </w:rPr>
        <w:t>Business users interact with data through conversational AI, asking questions in their own terminology and receiving instant, accurate responses.</w:t>
      </w:r>
    </w:p>
    <w:p>
      <w:pPr>
        <w:pStyle w:val="ListParagraph"/>
        <w:numPr>
          <w:ilvl w:val="0"/>
          <w:numId w:val="2"/>
        </w:numPr>
      </w:pPr>
      <w:r>
        <w:rPr>
          <w:b/>
          <w:sz w:val="22"/>
        </w:rPr>
        <w:t xml:space="preserve">100x Faster Insights: </w:t>
      </w:r>
      <w:r>
        <w:rPr>
          <w:sz w:val="22"/>
        </w:rPr>
        <w:t>From question to answer in seconds, not days—eliminating the bottleneck that has historically limited data’s impact on business decisions.</w:t>
      </w:r>
    </w:p>
    <w:p>
      <w:pPr>
        <w:pStyle w:val="ListParagraph"/>
        <w:numPr>
          <w:ilvl w:val="0"/>
          <w:numId w:val="2"/>
        </w:numPr>
      </w:pPr>
      <w:r>
        <w:rPr>
          <w:b/>
          <w:sz w:val="22"/>
        </w:rPr>
        <w:t xml:space="preserve">Governed Self-Service: </w:t>
      </w:r>
      <w:r>
        <w:rPr>
          <w:sz w:val="22"/>
        </w:rPr>
        <w:t>Semantic layer ensures consistent metrics and governed access, so self-service doesn’t compromise data quality or security.</w:t>
      </w:r>
    </w:p>
    <w:p>
      <w:pPr>
        <w:pStyle w:val="Heading2"/>
      </w:pPr>
      <w:r>
        <w:rPr>
          <w:color w:val="0F4761"/>
          <w:sz w:val="32"/>
        </w:rPr>
        <w:t>4.4 ML at Scale with Governance</w:t>
      </w:r>
    </w:p>
    <w:p>
      <w:pPr/>
      <w:r>
        <w:rPr>
          <w:sz w:val="22"/>
        </w:rPr>
        <w:t>See a future where your data science team deploys 3x more models to production with 60–80% less effort. Automated feature engineering, model training pipelines, governance workflows, and continuous monitoring transform ML from artisanal prototyping into an industrial-scale capability that delivers measurable business value across the organization.</w:t>
      </w:r>
    </w:p>
    <w:p>
      <w:pPr>
        <w:pStyle w:val="ListParagraph"/>
        <w:numPr>
          <w:ilvl w:val="0"/>
          <w:numId w:val="2"/>
        </w:numPr>
      </w:pPr>
      <w:r>
        <w:rPr>
          <w:b/>
          <w:sz w:val="22"/>
        </w:rPr>
        <w:t xml:space="preserve">Automated ML Lifecycle: </w:t>
      </w:r>
      <w:r>
        <w:rPr>
          <w:sz w:val="22"/>
        </w:rPr>
        <w:t>From feature engineering to model serving, every stage is automated with governance controls ensuring compliance and quality.</w:t>
      </w:r>
    </w:p>
    <w:p>
      <w:pPr>
        <w:pStyle w:val="ListParagraph"/>
        <w:numPr>
          <w:ilvl w:val="0"/>
          <w:numId w:val="2"/>
        </w:numPr>
      </w:pPr>
      <w:r>
        <w:rPr>
          <w:b/>
          <w:sz w:val="22"/>
        </w:rPr>
        <w:t xml:space="preserve">Model Factory Approach: </w:t>
      </w:r>
      <w:r>
        <w:rPr>
          <w:sz w:val="22"/>
        </w:rPr>
        <w:t>Standardized pipelines enable rapid model development and deployment, compressing timelines from months to days.</w:t>
      </w:r>
    </w:p>
    <w:p>
      <w:pPr>
        <w:pStyle w:val="ListParagraph"/>
        <w:numPr>
          <w:ilvl w:val="0"/>
          <w:numId w:val="2"/>
        </w:numPr>
      </w:pPr>
      <w:r>
        <w:rPr>
          <w:b/>
          <w:sz w:val="22"/>
        </w:rPr>
        <w:t xml:space="preserve">Continuous Optimization: </w:t>
      </w:r>
      <w:r>
        <w:rPr>
          <w:sz w:val="22"/>
        </w:rPr>
        <w:t>Production models are monitored for drift, automatically retrained when performance degrades, and governed through the complete lifecycle.</w:t>
      </w:r>
    </w:p>
    <w:p>
      <w:pPr>
        <w:pStyle w:val="Heading2"/>
      </w:pPr>
      <w:r>
        <w:rPr>
          <w:color w:val="0F4761"/>
          <w:sz w:val="32"/>
        </w:rPr>
        <w:t>4.5 Intelligent Platform Operations</w:t>
      </w:r>
    </w:p>
    <w:p>
      <w:pPr/>
      <w:r>
        <w:rPr>
          <w:sz w:val="22"/>
        </w:rPr>
        <w:t>Imagine 8-dimensional operational intelligence that manages your entire data ecosystem—infrastructure, data quality, pipelines, governance, ML models, AI agents, costs, and user experience—through a single, integrated automation framework. Platform reliability reaches 99.9% while operational costs decrease by 25–45% and your platform team reclaims the majority of their time from operational toil for strategic work.</w:t>
      </w:r>
    </w:p>
    <w:p>
      <w:pPr>
        <w:pStyle w:val="ListParagraph"/>
        <w:numPr>
          <w:ilvl w:val="0"/>
          <w:numId w:val="2"/>
        </w:numPr>
      </w:pPr>
      <w:r>
        <w:rPr>
          <w:b/>
          <w:sz w:val="22"/>
        </w:rPr>
        <w:t xml:space="preserve">8-Dimensional Coverage: </w:t>
      </w:r>
      <w:r>
        <w:rPr>
          <w:sz w:val="22"/>
        </w:rPr>
        <w:t>InfraOps, DataOps, PipelineOps, GovernanceOps, MLOps, AIAgentOps, CostOps, and ExperienceOps managed through unified intelligent automation.</w:t>
      </w:r>
    </w:p>
    <w:p>
      <w:pPr>
        <w:pStyle w:val="ListParagraph"/>
        <w:numPr>
          <w:ilvl w:val="0"/>
          <w:numId w:val="2"/>
        </w:numPr>
      </w:pPr>
      <w:r>
        <w:rPr>
          <w:b/>
          <w:sz w:val="22"/>
        </w:rPr>
        <w:t xml:space="preserve">Predictive Operations: </w:t>
      </w:r>
      <w:r>
        <w:rPr>
          <w:sz w:val="22"/>
        </w:rPr>
        <w:t>AI models predict issues before they impact users, enabling proactive remediation that maintains 99.9% platform SLA.</w:t>
      </w:r>
    </w:p>
    <w:p>
      <w:pPr>
        <w:pStyle w:val="ListParagraph"/>
        <w:numPr>
          <w:ilvl w:val="0"/>
          <w:numId w:val="2"/>
        </w:numPr>
      </w:pPr>
      <w:r>
        <w:rPr>
          <w:b/>
          <w:sz w:val="22"/>
        </w:rPr>
        <w:t xml:space="preserve">Compounding Efficiency: </w:t>
      </w:r>
      <w:r>
        <w:rPr>
          <w:sz w:val="22"/>
        </w:rPr>
        <w:t>Machine learning models continuously improve operational parameters, delivering efficiency gains that compound over time.</w:t>
      </w:r>
    </w:p>
    <w:p>
      <w:pPr>
        <w:pStyle w:val="Heading1"/>
      </w:pPr>
      <w:r>
        <w:rPr>
          <w:color w:val="0F4761"/>
          <w:sz w:val="40"/>
        </w:rPr>
        <w:t>5. Act III – The Solution (How We Get There)</w:t>
      </w:r>
    </w:p>
    <w:p>
      <w:pPr/>
      <w:r>
        <w:rPr>
          <w:sz w:val="22"/>
        </w:rPr>
        <w:t>Act III transitions from the aspirational vision to the concrete plan for achieving it. Executives want to know that the vision is not just inspiring but achievable—with a clear methodology, defined phases, managed risk, and a credible partner. This section should take approximately 7–10 minutes and should be the most structured, detail-rich portion of the presentation.</w:t>
      </w:r>
    </w:p>
    <w:p>
      <w:pPr>
        <w:pStyle w:val="Heading2"/>
      </w:pPr>
      <w:r>
        <w:rPr>
          <w:color w:val="0F4761"/>
          <w:sz w:val="32"/>
        </w:rPr>
        <w:t>5.1 Mastech’s 5 Integrated Offerings Overview</w:t>
      </w:r>
    </w:p>
    <w:p>
      <w:pPr/>
      <w:r>
        <w:rPr>
          <w:sz w:val="22"/>
        </w:rPr>
        <w:t>Mastech Digital delivers the vision through five integrated offerings, each addressing a specific dimension of the data and AI transformation journey. These offerings are designed to work together as a comprehensive transformation program or independently as targeted solutions for specific capability gaps.</w:t>
      </w:r>
    </w:p>
    <w:p>
      <w:pPr>
        <w:pStyle w:val="ListParagraph"/>
        <w:numPr>
          <w:ilvl w:val="0"/>
          <w:numId w:val="2"/>
        </w:numPr>
      </w:pPr>
      <w:r>
        <w:rPr>
          <w:b/>
          <w:sz w:val="22"/>
        </w:rPr>
        <w:t xml:space="preserve">AI-Native Platform Modernization: </w:t>
      </w:r>
      <w:r>
        <w:rPr>
          <w:sz w:val="22"/>
        </w:rPr>
        <w:t>Migrate from legacy DW/ETL to Databricks using SLM-powered automation. Delivers 50–70% faster migration, 40–60% TCO reduction, and 3–5x query performance improvement with 100% business logic fidelity.</w:t>
      </w:r>
    </w:p>
    <w:p>
      <w:pPr>
        <w:pStyle w:val="ListParagraph"/>
        <w:numPr>
          <w:ilvl w:val="0"/>
          <w:numId w:val="2"/>
        </w:numPr>
      </w:pPr>
      <w:r>
        <w:rPr>
          <w:b/>
          <w:sz w:val="22"/>
        </w:rPr>
        <w:t xml:space="preserve">Autonomous Data Engineering: </w:t>
      </w:r>
      <w:r>
        <w:rPr>
          <w:sz w:val="22"/>
        </w:rPr>
        <w:t>AI agent-based pipeline orchestration that reduces manual effort by 70%, cuts data quality incidents by 60%, and enables self-healing, self-optimizing data pipelines on Delta Live Tables and Delta Lake.</w:t>
      </w:r>
    </w:p>
    <w:p>
      <w:pPr>
        <w:pStyle w:val="ListParagraph"/>
        <w:numPr>
          <w:ilvl w:val="0"/>
          <w:numId w:val="2"/>
        </w:numPr>
      </w:pPr>
      <w:r>
        <w:rPr>
          <w:b/>
          <w:sz w:val="22"/>
        </w:rPr>
        <w:t xml:space="preserve">Autonomous Analytics &amp; BI: </w:t>
      </w:r>
      <w:r>
        <w:rPr>
          <w:sz w:val="22"/>
        </w:rPr>
        <w:t>Natural language analytics and self-service BI that delivers 100x faster insights, drives business user adoption from 20% to 90%, and reduces BI team workload by 50% through AI-powered democratization.</w:t>
      </w:r>
    </w:p>
    <w:p>
      <w:pPr>
        <w:pStyle w:val="ListParagraph"/>
        <w:numPr>
          <w:ilvl w:val="0"/>
          <w:numId w:val="2"/>
        </w:numPr>
      </w:pPr>
      <w:r>
        <w:rPr>
          <w:b/>
          <w:sz w:val="22"/>
        </w:rPr>
        <w:t xml:space="preserve">Autonomous Data Science: </w:t>
      </w:r>
      <w:r>
        <w:rPr>
          <w:sz w:val="22"/>
        </w:rPr>
        <w:t>ML lifecycle automation that reduces data science effort by 60–80%, enables 3x more models in production, and compresses deployment timelines from months to days through automated pipelines and governance.</w:t>
      </w:r>
    </w:p>
    <w:p>
      <w:pPr>
        <w:pStyle w:val="ListParagraph"/>
        <w:numPr>
          <w:ilvl w:val="0"/>
          <w:numId w:val="2"/>
        </w:numPr>
      </w:pPr>
      <w:r>
        <w:rPr>
          <w:b/>
          <w:sz w:val="22"/>
        </w:rPr>
        <w:t xml:space="preserve">Autonomous Platform Operations: </w:t>
      </w:r>
      <w:r>
        <w:rPr>
          <w:sz w:val="22"/>
        </w:rPr>
        <w:t>8-dimensional operational framework (InfraOps, DataOps, PipelineOps, GovernanceOps, MLOps, AIAgentOps, CostOps, ExperienceOps) that drives 70% operational efficiency, 25–45% cost reduction, and 99.9% platform SLA.</w:t>
      </w:r>
    </w:p>
    <w:p>
      <w:pPr>
        <w:pStyle w:val="Heading2"/>
      </w:pPr>
      <w:r>
        <w:rPr>
          <w:color w:val="0F4761"/>
          <w:sz w:val="32"/>
        </w:rPr>
        <w:t>5.2 Phased Implementation Approach</w:t>
      </w:r>
    </w:p>
    <w:p>
      <w:pPr/>
      <w:r>
        <w:rPr>
          <w:sz w:val="22"/>
        </w:rPr>
        <w:t>The transformation is executed in carefully sequenced phases, each delivering measurable value and building the foundation for subsequent phases. This approach minimizes risk, demonstrates value early, and allows the organization to calibrate investment based on validated results rather than projections.</w:t>
      </w:r>
    </w:p>
    <w:p>
      <w:pPr>
        <w:pStyle w:val="ListParagraph"/>
        <w:numPr>
          <w:ilvl w:val="0"/>
          <w:numId w:val="2"/>
        </w:numPr>
      </w:pPr>
      <w:r>
        <w:rPr>
          <w:b/>
          <w:sz w:val="22"/>
        </w:rPr>
        <w:t xml:space="preserve">Phase 0 – Discovery Workshop (1–2 weeks): </w:t>
      </w:r>
      <w:r>
        <w:rPr>
          <w:sz w:val="22"/>
        </w:rPr>
        <w:t>Collaborative assessment of current environment, strategic priorities, and quick-win opportunities. Produces a tailored transformation roadmap and preliminary business case.</w:t>
      </w:r>
    </w:p>
    <w:p>
      <w:pPr>
        <w:pStyle w:val="ListParagraph"/>
        <w:numPr>
          <w:ilvl w:val="0"/>
          <w:numId w:val="2"/>
        </w:numPr>
      </w:pPr>
      <w:r>
        <w:rPr>
          <w:b/>
          <w:sz w:val="22"/>
        </w:rPr>
        <w:t xml:space="preserve">Phase 1 – Proof of Value (4–6 weeks): </w:t>
      </w:r>
      <w:r>
        <w:rPr>
          <w:sz w:val="22"/>
        </w:rPr>
        <w:t>Focused migration of a representative workload to Databricks, demonstrating feasibility, performance, and SLM-based automation capabilities. Produces validated metrics for the full business case.</w:t>
      </w:r>
    </w:p>
    <w:p>
      <w:pPr>
        <w:pStyle w:val="ListParagraph"/>
        <w:numPr>
          <w:ilvl w:val="0"/>
          <w:numId w:val="2"/>
        </w:numPr>
      </w:pPr>
      <w:r>
        <w:rPr>
          <w:b/>
          <w:sz w:val="22"/>
        </w:rPr>
        <w:t xml:space="preserve">Phase 2 – Foundation (3–6 months): </w:t>
      </w:r>
      <w:r>
        <w:rPr>
          <w:sz w:val="22"/>
        </w:rPr>
        <w:t>Core platform deployment, first production workload migrations, and initial autonomous capabilities. Delivers first production cost savings and operational efficiencies.</w:t>
      </w:r>
    </w:p>
    <w:p>
      <w:pPr>
        <w:pStyle w:val="ListParagraph"/>
        <w:numPr>
          <w:ilvl w:val="0"/>
          <w:numId w:val="2"/>
        </w:numPr>
      </w:pPr>
      <w:r>
        <w:rPr>
          <w:b/>
          <w:sz w:val="22"/>
        </w:rPr>
        <w:t xml:space="preserve">Phase 3 – Expansion (6–12 months): </w:t>
      </w:r>
      <w:r>
        <w:rPr>
          <w:sz w:val="22"/>
        </w:rPr>
        <w:t>Broad workload migration, advanced analytics and ML deployment, and expansion of autonomous operations. Delivers full platform value and organizational capability building.</w:t>
      </w:r>
    </w:p>
    <w:p>
      <w:pPr>
        <w:pStyle w:val="ListParagraph"/>
        <w:numPr>
          <w:ilvl w:val="0"/>
          <w:numId w:val="2"/>
        </w:numPr>
      </w:pPr>
      <w:r>
        <w:rPr>
          <w:b/>
          <w:sz w:val="22"/>
        </w:rPr>
        <w:t xml:space="preserve">Phase 4 – Optimization (Ongoing): </w:t>
      </w:r>
      <w:r>
        <w:rPr>
          <w:sz w:val="22"/>
        </w:rPr>
        <w:t>Continuous improvement through AI-driven optimization, new use case enablement, and evolving operational maturity. Delivers compounding returns on the platform investment.</w:t>
      </w:r>
    </w:p>
    <w:p>
      <w:pPr>
        <w:pStyle w:val="Heading2"/>
      </w:pPr>
      <w:r>
        <w:rPr>
          <w:color w:val="0F4761"/>
          <w:sz w:val="32"/>
        </w:rPr>
        <w:t>5.3 De-risked with POV and Milestone Gates</w:t>
      </w:r>
    </w:p>
    <w:p>
      <w:pPr/>
      <w:r>
        <w:rPr>
          <w:sz w:val="22"/>
        </w:rPr>
        <w:t>Every phase includes defined success criteria, milestone gates, and go/no-go decision points that give the organization full control over the pace and scope of the transformation. The Proof of Value is specifically designed to validate the business case with the organization’s actual data and workloads before committing to a broader engagement.</w:t>
      </w:r>
    </w:p>
    <w:p>
      <w:pPr>
        <w:pStyle w:val="ListParagraph"/>
        <w:numPr>
          <w:ilvl w:val="0"/>
          <w:numId w:val="2"/>
        </w:numPr>
      </w:pPr>
      <w:r>
        <w:rPr>
          <w:b/>
          <w:sz w:val="22"/>
        </w:rPr>
        <w:t xml:space="preserve">Success Criteria: </w:t>
      </w:r>
      <w:r>
        <w:rPr>
          <w:sz w:val="22"/>
        </w:rPr>
        <w:t>Each phase has quantified success criteria agreed upon in advance—performance benchmarks, cost targets, quality metrics—ensuring both parties share a clear definition of success.</w:t>
      </w:r>
    </w:p>
    <w:p>
      <w:pPr>
        <w:pStyle w:val="ListParagraph"/>
        <w:numPr>
          <w:ilvl w:val="0"/>
          <w:numId w:val="2"/>
        </w:numPr>
      </w:pPr>
      <w:r>
        <w:rPr>
          <w:b/>
          <w:sz w:val="22"/>
        </w:rPr>
        <w:t xml:space="preserve">Milestone Gates: </w:t>
      </w:r>
      <w:r>
        <w:rPr>
          <w:sz w:val="22"/>
        </w:rPr>
        <w:t>Phase transitions require formal review and approval, ensuring the organization validates results before authorizing the next phase of investment.</w:t>
      </w:r>
    </w:p>
    <w:p>
      <w:pPr>
        <w:pStyle w:val="ListParagraph"/>
        <w:numPr>
          <w:ilvl w:val="0"/>
          <w:numId w:val="2"/>
        </w:numPr>
      </w:pPr>
      <w:r>
        <w:rPr>
          <w:b/>
          <w:sz w:val="22"/>
        </w:rPr>
        <w:t xml:space="preserve">Escalation Framework: </w:t>
      </w:r>
      <w:r>
        <w:rPr>
          <w:sz w:val="22"/>
        </w:rPr>
        <w:t>Defined escalation procedures and issue resolution processes ensure that challenges are identified and addressed promptly, preventing scope creep or timeline drift.</w:t>
      </w:r>
    </w:p>
    <w:p>
      <w:pPr>
        <w:pStyle w:val="ListParagraph"/>
        <w:numPr>
          <w:ilvl w:val="0"/>
          <w:numId w:val="2"/>
        </w:numPr>
      </w:pPr>
      <w:r>
        <w:rPr>
          <w:b/>
          <w:sz w:val="22"/>
        </w:rPr>
        <w:t xml:space="preserve">Rollback Capability: </w:t>
      </w:r>
      <w:r>
        <w:rPr>
          <w:sz w:val="22"/>
        </w:rPr>
        <w:t>Every phase includes documented rollback procedures, ensuring the organization can revert to the previous state if needed, eliminating the fear of irreversible commitment.</w:t>
      </w:r>
    </w:p>
    <w:p>
      <w:pPr>
        <w:pStyle w:val="Heading2"/>
      </w:pPr>
      <w:r>
        <w:rPr>
          <w:color w:val="0F4761"/>
          <w:sz w:val="32"/>
        </w:rPr>
        <w:t>5.4 Proven Methodology and SLM-Based Automation</w:t>
      </w:r>
    </w:p>
    <w:p>
      <w:pPr/>
      <w:r>
        <w:rPr>
          <w:sz w:val="22"/>
        </w:rPr>
        <w:t>Mastech’s methodology is not a generic consulting framework—it is a technology-enabled, continuously refined delivery system that leverages proprietary Small Language Models to automate the most labor-intensive aspects of platform transformation. This technology-led approach fundamentally changes the economics, speed, and quality of delivery compared to traditional headcount-based system integration.</w:t>
      </w:r>
    </w:p>
    <w:p>
      <w:pPr>
        <w:pStyle w:val="ListParagraph"/>
        <w:numPr>
          <w:ilvl w:val="0"/>
          <w:numId w:val="2"/>
        </w:numPr>
      </w:pPr>
      <w:r>
        <w:rPr>
          <w:b/>
          <w:sz w:val="22"/>
        </w:rPr>
        <w:t xml:space="preserve">Proprietary SLMs: </w:t>
      </w:r>
      <w:r>
        <w:rPr>
          <w:sz w:val="22"/>
        </w:rPr>
        <w:t>Small Language Models specifically trained on migration patterns automate code analysis, conversion, validation, and optimization—delivering 50–70% faster migration with 100% business logic fidelity.</w:t>
      </w:r>
    </w:p>
    <w:p>
      <w:pPr>
        <w:pStyle w:val="ListParagraph"/>
        <w:numPr>
          <w:ilvl w:val="0"/>
          <w:numId w:val="2"/>
        </w:numPr>
      </w:pPr>
      <w:r>
        <w:rPr>
          <w:b/>
          <w:sz w:val="22"/>
        </w:rPr>
        <w:t xml:space="preserve">AI Agent Framework: </w:t>
      </w:r>
      <w:r>
        <w:rPr>
          <w:sz w:val="22"/>
        </w:rPr>
        <w:t>Purpose-built AI agents for data engineering, analytics, ML, and platform operations deliver autonomous capabilities that continue generating value long after the initial engagement.</w:t>
      </w:r>
    </w:p>
    <w:p>
      <w:pPr>
        <w:pStyle w:val="ListParagraph"/>
        <w:numPr>
          <w:ilvl w:val="0"/>
          <w:numId w:val="2"/>
        </w:numPr>
      </w:pPr>
      <w:r>
        <w:rPr>
          <w:b/>
          <w:sz w:val="22"/>
        </w:rPr>
        <w:t xml:space="preserve">Repeatable Methodology: </w:t>
      </w:r>
      <w:r>
        <w:rPr>
          <w:sz w:val="22"/>
        </w:rPr>
        <w:t>Codified best practices from extensive engagement experience ensure consistent quality, predictable timelines, and reliable outcomes across industries and use cases.</w:t>
      </w:r>
    </w:p>
    <w:p>
      <w:pPr>
        <w:pStyle w:val="ListParagraph"/>
        <w:numPr>
          <w:ilvl w:val="0"/>
          <w:numId w:val="2"/>
        </w:numPr>
      </w:pPr>
      <w:r>
        <w:rPr>
          <w:b/>
          <w:sz w:val="22"/>
        </w:rPr>
        <w:t xml:space="preserve">Continuous Innovation: </w:t>
      </w:r>
      <w:r>
        <w:rPr>
          <w:sz w:val="22"/>
        </w:rPr>
        <w:t>Mastech’s SLMs and agent frameworks are continuously improved based on new engagement learnings, platform updates, and emerging best practices, ensuring every client benefits from the collective experience of the practice.</w:t>
      </w:r>
    </w:p>
    <w:p>
      <w:pPr>
        <w:pStyle w:val="Heading1"/>
      </w:pPr>
      <w:r>
        <w:rPr>
          <w:color w:val="0F4761"/>
          <w:sz w:val="40"/>
        </w:rPr>
        <w:t>6. Act IV – The Business Case (Why It’s Worth It)</w:t>
      </w:r>
    </w:p>
    <w:p>
      <w:pPr/>
      <w:r>
        <w:rPr>
          <w:sz w:val="22"/>
        </w:rPr>
        <w:t>Act IV is where the narrative gets quantitative. Executives making investment decisions need specific numbers: how much does it cost, what is the return, when does it pay back, and what is the risk-adjusted projection? This section should be presented with confidence and supported by assumptions that can be discussed in detail if challenged. Champions should customize these projections with their organization’s actual cost data and strategic priorities. This section should take approximately 5–7 minutes.</w:t>
      </w:r>
    </w:p>
    <w:p>
      <w:pPr>
        <w:pStyle w:val="Heading2"/>
      </w:pPr>
      <w:r>
        <w:rPr>
          <w:color w:val="0F4761"/>
          <w:sz w:val="32"/>
        </w:rPr>
        <w:t>6.1 Investment Overview</w:t>
      </w:r>
    </w:p>
    <w:p>
      <w:pPr/>
      <w:r>
        <w:rPr>
          <w:sz w:val="22"/>
        </w:rPr>
        <w:t>The total transformation investment is structured across the phased approach, with each phase sized appropriately for the scope of work. The key principle is that investment is incremental—the organization commits to each phase based on validated results from the previous phase, not on projections alone.</w:t>
      </w:r>
    </w:p>
    <w:p>
      <w:pPr>
        <w:pStyle w:val="ListParagraph"/>
        <w:numPr>
          <w:ilvl w:val="0"/>
          <w:numId w:val="2"/>
        </w:numPr>
      </w:pPr>
      <w:r>
        <w:rPr>
          <w:b/>
          <w:sz w:val="22"/>
        </w:rPr>
        <w:t xml:space="preserve">Discovery Workshop: </w:t>
      </w:r>
      <w:r>
        <w:rPr>
          <w:sz w:val="22"/>
        </w:rPr>
        <w:t>Low-cost engagement (typically modest investment) over 1–2 weeks. Produces transformation roadmap and business case—no commitment to proceed beyond this phase.</w:t>
      </w:r>
    </w:p>
    <w:p>
      <w:pPr>
        <w:pStyle w:val="ListParagraph"/>
        <w:numPr>
          <w:ilvl w:val="0"/>
          <w:numId w:val="2"/>
        </w:numPr>
      </w:pPr>
      <w:r>
        <w:rPr>
          <w:b/>
          <w:sz w:val="22"/>
        </w:rPr>
        <w:t xml:space="preserve">Proof of Value: </w:t>
      </w:r>
      <w:r>
        <w:rPr>
          <w:sz w:val="22"/>
        </w:rPr>
        <w:t>Targeted investment over 4–6 weeks. Validates approach on representative workloads and produces the evidence needed for executive commitment to the full program.</w:t>
      </w:r>
    </w:p>
    <w:p>
      <w:pPr>
        <w:pStyle w:val="ListParagraph"/>
        <w:numPr>
          <w:ilvl w:val="0"/>
          <w:numId w:val="2"/>
        </w:numPr>
      </w:pPr>
      <w:r>
        <w:rPr>
          <w:b/>
          <w:sz w:val="22"/>
        </w:rPr>
        <w:t xml:space="preserve">Foundation Phase: </w:t>
      </w:r>
      <w:r>
        <w:rPr>
          <w:sz w:val="22"/>
        </w:rPr>
        <w:t>Primary investment over 3–6 months. Delivers core platform, first production workloads, and initial cost savings that begin funding subsequent phases.</w:t>
      </w:r>
    </w:p>
    <w:p>
      <w:pPr>
        <w:pStyle w:val="ListParagraph"/>
        <w:numPr>
          <w:ilvl w:val="0"/>
          <w:numId w:val="2"/>
        </w:numPr>
      </w:pPr>
      <w:r>
        <w:rPr>
          <w:b/>
          <w:sz w:val="22"/>
        </w:rPr>
        <w:t xml:space="preserve">Expansion Phase: </w:t>
      </w:r>
      <w:r>
        <w:rPr>
          <w:sz w:val="22"/>
        </w:rPr>
        <w:t>Scaled investment over 6–12 months. Largely self-funded through cost savings from earlier phases. Delivers broad modernization and advanced capabilities.</w:t>
      </w:r>
    </w:p>
    <w:p>
      <w:pPr>
        <w:pStyle w:val="Heading2"/>
      </w:pPr>
      <w:r>
        <w:rPr>
          <w:color w:val="0F4761"/>
          <w:sz w:val="32"/>
        </w:rPr>
        <w:t>6.2 Three-Year Value Projection</w:t>
      </w:r>
    </w:p>
    <w:p>
      <w:pPr/>
      <w:r>
        <w:rPr>
          <w:sz w:val="22"/>
        </w:rPr>
        <w:t>The three-year value projection includes both direct cost savings (TCO reduction, license retirement, labor efficiency) and productivity value (faster time to insight, increased model deployment, improved data quality). Conservative estimates use only directly measurable cost savings; the full value including productivity gains and revenue impact is significantly higher.</w:t>
      </w:r>
    </w:p>
    <w:p>
      <w:pPr>
        <w:pStyle w:val="ListParagraph"/>
        <w:numPr>
          <w:ilvl w:val="0"/>
          <w:numId w:val="2"/>
        </w:numPr>
      </w:pPr>
      <w:r>
        <w:rPr>
          <w:b/>
          <w:sz w:val="22"/>
        </w:rPr>
        <w:t xml:space="preserve">Year 1: </w:t>
      </w:r>
      <w:r>
        <w:rPr>
          <w:sz w:val="22"/>
        </w:rPr>
        <w:t>Foundation deployment delivers initial TCO reduction as first workloads migrate and legacy licenses are downsized. Automation begins generating labor efficiency gains. The organization recovers a significant portion of Year 1 costs through immediate savings.</w:t>
      </w:r>
    </w:p>
    <w:p>
      <w:pPr>
        <w:pStyle w:val="ListParagraph"/>
        <w:numPr>
          <w:ilvl w:val="0"/>
          <w:numId w:val="2"/>
        </w:numPr>
      </w:pPr>
      <w:r>
        <w:rPr>
          <w:b/>
          <w:sz w:val="22"/>
        </w:rPr>
        <w:t xml:space="preserve">Year 2: </w:t>
      </w:r>
      <w:r>
        <w:rPr>
          <w:sz w:val="22"/>
        </w:rPr>
        <w:t>Broad migration drives significant TCO reduction as legacy systems are retired. Autonomous operations reduce operational headcount requirements. Net value exceeds cumulative investment, achieving positive return.</w:t>
      </w:r>
    </w:p>
    <w:p>
      <w:pPr>
        <w:pStyle w:val="ListParagraph"/>
        <w:numPr>
          <w:ilvl w:val="0"/>
          <w:numId w:val="2"/>
        </w:numPr>
      </w:pPr>
      <w:r>
        <w:rPr>
          <w:b/>
          <w:sz w:val="22"/>
        </w:rPr>
        <w:t xml:space="preserve">Year 3: </w:t>
      </w:r>
      <w:r>
        <w:rPr>
          <w:sz w:val="22"/>
        </w:rPr>
        <w:t>Full platform maturity with compounding returns from optimization, expanded use cases, and organizational capability. Cumulative return reaches 3–5x total investment across all offerings.</w:t>
      </w:r>
    </w:p>
    <w:p>
      <w:pPr>
        <w:pStyle w:val="Heading2"/>
      </w:pPr>
      <w:r>
        <w:rPr>
          <w:color w:val="0F4761"/>
          <w:sz w:val="32"/>
        </w:rPr>
        <w:t>6.3 ROI Metrics by Offering</w:t>
      </w:r>
    </w:p>
    <w:p>
      <w:pPr/>
      <w:r>
        <w:rPr>
          <w:sz w:val="22"/>
        </w:rPr>
        <w:t>Each offering contributes to the overall ROI through specific value drivers. The following metrics provide a framework for quantifying the value contribution of each offering. Champions should customize these metrics with their organization’s actual cost baseline and projected improvements.</w:t>
      </w:r>
    </w:p>
    <w:p>
      <w:pPr>
        <w:pStyle w:val="ListParagraph"/>
        <w:numPr>
          <w:ilvl w:val="0"/>
          <w:numId w:val="2"/>
        </w:numPr>
      </w:pPr>
      <w:r>
        <w:rPr>
          <w:b/>
          <w:sz w:val="22"/>
        </w:rPr>
        <w:t xml:space="preserve">Platform Modernization ROI: </w:t>
      </w:r>
      <w:r>
        <w:rPr>
          <w:sz w:val="22"/>
        </w:rPr>
        <w:t>40–60% TCO reduction through legacy license retirement, infrastructure consolidation, and operational efficiency. Typical payback: 12–18 months.</w:t>
      </w:r>
    </w:p>
    <w:p>
      <w:pPr>
        <w:pStyle w:val="ListParagraph"/>
        <w:numPr>
          <w:ilvl w:val="0"/>
          <w:numId w:val="2"/>
        </w:numPr>
      </w:pPr>
      <w:r>
        <w:rPr>
          <w:b/>
          <w:sz w:val="22"/>
        </w:rPr>
        <w:t xml:space="preserve">Data Engineering ROI: </w:t>
      </w:r>
      <w:r>
        <w:rPr>
          <w:sz w:val="22"/>
        </w:rPr>
        <w:t>70% reduction in manual effort translates to significant FTE-equivalents reclaimed for innovation. 60% fewer quality incidents reduce incident response costs substantially.</w:t>
      </w:r>
    </w:p>
    <w:p>
      <w:pPr>
        <w:pStyle w:val="ListParagraph"/>
        <w:numPr>
          <w:ilvl w:val="0"/>
          <w:numId w:val="2"/>
        </w:numPr>
      </w:pPr>
      <w:r>
        <w:rPr>
          <w:b/>
          <w:sz w:val="22"/>
        </w:rPr>
        <w:t xml:space="preserve">Analytics &amp; BI ROI: </w:t>
      </w:r>
      <w:r>
        <w:rPr>
          <w:sz w:val="22"/>
        </w:rPr>
        <w:t>50% BI workload reduction frees analyst resources for higher-value work. 90% business user adoption transforms data from a cost center to a decision advantage.</w:t>
      </w:r>
    </w:p>
    <w:p>
      <w:pPr>
        <w:pStyle w:val="ListParagraph"/>
        <w:numPr>
          <w:ilvl w:val="0"/>
          <w:numId w:val="2"/>
        </w:numPr>
      </w:pPr>
      <w:r>
        <w:rPr>
          <w:b/>
          <w:sz w:val="22"/>
        </w:rPr>
        <w:t xml:space="preserve">Data Science ROI: </w:t>
      </w:r>
      <w:r>
        <w:rPr>
          <w:sz w:val="22"/>
        </w:rPr>
        <w:t>3x more models in production accelerates revenue-generating AI initiatives. 60–80% effort reduction in ML lifecycle enables the data science team to tackle significantly more use cases annually.</w:t>
      </w:r>
    </w:p>
    <w:p>
      <w:pPr>
        <w:pStyle w:val="ListParagraph"/>
        <w:numPr>
          <w:ilvl w:val="0"/>
          <w:numId w:val="2"/>
        </w:numPr>
      </w:pPr>
      <w:r>
        <w:rPr>
          <w:b/>
          <w:sz w:val="22"/>
        </w:rPr>
        <w:t xml:space="preserve">Platform Operations ROI: </w:t>
      </w:r>
      <w:r>
        <w:rPr>
          <w:sz w:val="22"/>
        </w:rPr>
        <w:t>25–45% cost optimization reduces annual platform spend materially. 70% operational efficiency reclaims engineering capacity from operational toil for strategic initiatives.</w:t>
      </w:r>
    </w:p>
    <w:p>
      <w:pPr>
        <w:pStyle w:val="Heading2"/>
      </w:pPr>
      <w:r>
        <w:rPr>
          <w:color w:val="0F4761"/>
          <w:sz w:val="32"/>
        </w:rPr>
        <w:t>6.4 Payback Period and Breakeven</w:t>
      </w:r>
    </w:p>
    <w:p>
      <w:pPr/>
      <w:r>
        <w:rPr>
          <w:sz w:val="22"/>
        </w:rPr>
        <w:t>The breakeven analysis demonstrates that the transformation investment reaches payback within a timeframe that is well within typical enterprise investment horizons. The conservative case (cost savings only) and optimistic case (including productivity and revenue impact) provide a range that executives can evaluate based on their risk tolerance.</w:t>
      </w:r>
    </w:p>
    <w:p>
      <w:pPr>
        <w:pStyle w:val="ListParagraph"/>
        <w:numPr>
          <w:ilvl w:val="0"/>
          <w:numId w:val="2"/>
        </w:numPr>
      </w:pPr>
      <w:r>
        <w:rPr>
          <w:b/>
          <w:sz w:val="22"/>
        </w:rPr>
        <w:t xml:space="preserve">Conservative Payback: </w:t>
      </w:r>
      <w:r>
        <w:rPr>
          <w:sz w:val="22"/>
        </w:rPr>
        <w:t>12–18 months based on directly measurable cost savings alone—TCO reduction, license retirement, and labor efficiency gains. This scenario assumes no revenue impact or productivity value.</w:t>
      </w:r>
    </w:p>
    <w:p>
      <w:pPr>
        <w:pStyle w:val="ListParagraph"/>
        <w:numPr>
          <w:ilvl w:val="0"/>
          <w:numId w:val="2"/>
        </w:numPr>
      </w:pPr>
      <w:r>
        <w:rPr>
          <w:b/>
          <w:sz w:val="22"/>
        </w:rPr>
        <w:t xml:space="preserve">Expected Payback: </w:t>
      </w:r>
      <w:r>
        <w:rPr>
          <w:sz w:val="22"/>
        </w:rPr>
        <w:t>9–12 months when including quantifiable productivity gains—faster time to insight, reduced incident response, and increased data science model deployment.</w:t>
      </w:r>
    </w:p>
    <w:p>
      <w:pPr>
        <w:pStyle w:val="ListParagraph"/>
        <w:numPr>
          <w:ilvl w:val="0"/>
          <w:numId w:val="2"/>
        </w:numPr>
      </w:pPr>
      <w:r>
        <w:rPr>
          <w:b/>
          <w:sz w:val="22"/>
        </w:rPr>
        <w:t xml:space="preserve">Breakeven Investment: </w:t>
      </w:r>
      <w:r>
        <w:rPr>
          <w:sz w:val="22"/>
        </w:rPr>
        <w:t>The POV and Foundation phases represent the investment required to reach breakeven. Expansion phases are substantially self-funded through savings generated by earlier phases.</w:t>
      </w:r>
    </w:p>
    <w:p>
      <w:pPr>
        <w:pStyle w:val="ListParagraph"/>
        <w:numPr>
          <w:ilvl w:val="0"/>
          <w:numId w:val="2"/>
        </w:numPr>
      </w:pPr>
      <w:r>
        <w:rPr>
          <w:b/>
          <w:sz w:val="22"/>
        </w:rPr>
        <w:t xml:space="preserve">Risk-Adjusted ROI: </w:t>
      </w:r>
      <w:r>
        <w:rPr>
          <w:sz w:val="22"/>
        </w:rPr>
        <w:t>Even with a 30% haircut on projected benefits, the three-year ROI exceeds 2x—demonstrating robust value even under conservative assumptions.</w:t>
      </w:r>
    </w:p>
    <w:p>
      <w:pPr>
        <w:pStyle w:val="Heading1"/>
      </w:pPr>
      <w:r>
        <w:rPr>
          <w:color w:val="0F4761"/>
          <w:sz w:val="40"/>
        </w:rPr>
        <w:t>7. Act V – The Ask (Next Steps)</w:t>
      </w:r>
    </w:p>
    <w:p>
      <w:pPr/>
      <w:r>
        <w:rPr>
          <w:sz w:val="22"/>
        </w:rPr>
        <w:t>Act V is the culmination of the entire presentation. Every story needs a resolution, and the resolution of a business case presentation is a clear, specific request for action. Vague conclusions like “we recommend further exploration” waste the momentum built by the preceding acts. The ask should be concrete, time-bound, and achievable—giving the executive a clear decision to make.</w:t>
      </w:r>
    </w:p>
    <w:p>
      <w:pPr>
        <w:pStyle w:val="Heading2"/>
      </w:pPr>
      <w:r>
        <w:rPr>
          <w:color w:val="0F4761"/>
          <w:sz w:val="32"/>
        </w:rPr>
        <w:t>7.1 Recommendation for Discovery Workshop</w:t>
      </w:r>
    </w:p>
    <w:p>
      <w:pPr/>
      <w:r>
        <w:rPr>
          <w:sz w:val="22"/>
        </w:rPr>
        <w:t>The recommended immediate next step is a Discovery Workshop with Mastech Digital. This is a low-risk, high-information engagement that gives the organization a detailed understanding of the transformation opportunity without committing to a broader program.</w:t>
      </w:r>
    </w:p>
    <w:p>
      <w:pPr>
        <w:pStyle w:val="ListParagraph"/>
        <w:numPr>
          <w:ilvl w:val="0"/>
          <w:numId w:val="2"/>
        </w:numPr>
      </w:pPr>
      <w:r>
        <w:rPr>
          <w:b/>
          <w:sz w:val="22"/>
        </w:rPr>
        <w:t xml:space="preserve">Duration: </w:t>
      </w:r>
      <w:r>
        <w:rPr>
          <w:sz w:val="22"/>
        </w:rPr>
        <w:t>1–2 weeks, minimal disruption to ongoing operations.</w:t>
      </w:r>
    </w:p>
    <w:p>
      <w:pPr>
        <w:pStyle w:val="ListParagraph"/>
        <w:numPr>
          <w:ilvl w:val="0"/>
          <w:numId w:val="2"/>
        </w:numPr>
      </w:pPr>
      <w:r>
        <w:rPr>
          <w:b/>
          <w:sz w:val="22"/>
        </w:rPr>
        <w:t xml:space="preserve">Investment: </w:t>
      </w:r>
      <w:r>
        <w:rPr>
          <w:sz w:val="22"/>
        </w:rPr>
        <w:t>A modest engagement fee—a fraction of a percent of the potential value identified.</w:t>
      </w:r>
    </w:p>
    <w:p>
      <w:pPr>
        <w:pStyle w:val="ListParagraph"/>
        <w:numPr>
          <w:ilvl w:val="0"/>
          <w:numId w:val="2"/>
        </w:numPr>
      </w:pPr>
      <w:r>
        <w:rPr>
          <w:b/>
          <w:sz w:val="22"/>
        </w:rPr>
        <w:t xml:space="preserve">Deliverables: </w:t>
      </w:r>
      <w:r>
        <w:rPr>
          <w:sz w:val="22"/>
        </w:rPr>
        <w:t>Comprehensive current-state assessment, prioritized transformation roadmap, preliminary business case with organization-specific ROI projections, and POV proposal.</w:t>
      </w:r>
    </w:p>
    <w:p>
      <w:pPr>
        <w:pStyle w:val="ListParagraph"/>
        <w:numPr>
          <w:ilvl w:val="0"/>
          <w:numId w:val="2"/>
        </w:numPr>
      </w:pPr>
      <w:r>
        <w:rPr>
          <w:b/>
          <w:sz w:val="22"/>
        </w:rPr>
        <w:t xml:space="preserve">Commitment: </w:t>
      </w:r>
      <w:r>
        <w:rPr>
          <w:sz w:val="22"/>
        </w:rPr>
        <w:t>No obligation to proceed beyond the workshop. The deliverables stand on their own as a strategic planning resource regardless of next steps.</w:t>
      </w:r>
    </w:p>
    <w:p>
      <w:pPr>
        <w:pStyle w:val="ListParagraph"/>
        <w:numPr>
          <w:ilvl w:val="0"/>
          <w:numId w:val="2"/>
        </w:numPr>
      </w:pPr>
      <w:r>
        <w:rPr>
          <w:b/>
          <w:sz w:val="22"/>
        </w:rPr>
        <w:t xml:space="preserve">Participants Required: </w:t>
      </w:r>
      <w:r>
        <w:rPr>
          <w:sz w:val="22"/>
        </w:rPr>
        <w:t>Key stakeholders from data engineering, analytics, data science, infrastructure, and one executive sponsor for the kickoff and readout sessions.</w:t>
      </w:r>
    </w:p>
    <w:p>
      <w:pPr>
        <w:pStyle w:val="Heading2"/>
      </w:pPr>
      <w:r>
        <w:rPr>
          <w:color w:val="0F4761"/>
          <w:sz w:val="32"/>
        </w:rPr>
        <w:t>7.2 POV Proposal</w:t>
      </w:r>
    </w:p>
    <w:p>
      <w:pPr/>
      <w:r>
        <w:rPr>
          <w:sz w:val="22"/>
        </w:rPr>
        <w:t>Following the Discovery Workshop, the recommended next step is a Proof of Value engagement that validates the approach on a representative workload from the organization’s actual environment. The POV transforms the business case from projections to demonstrated results.</w:t>
      </w:r>
    </w:p>
    <w:p>
      <w:pPr>
        <w:pStyle w:val="ListParagraph"/>
        <w:numPr>
          <w:ilvl w:val="0"/>
          <w:numId w:val="2"/>
        </w:numPr>
      </w:pPr>
      <w:r>
        <w:rPr>
          <w:b/>
          <w:sz w:val="22"/>
        </w:rPr>
        <w:t xml:space="preserve">Scope: </w:t>
      </w:r>
      <w:r>
        <w:rPr>
          <w:sz w:val="22"/>
        </w:rPr>
        <w:t>Migration and optimization of a representative workload selected during the Discovery Workshop—complex enough to be meaningful, contained enough to complete in 4–6 weeks.</w:t>
      </w:r>
    </w:p>
    <w:p>
      <w:pPr>
        <w:pStyle w:val="ListParagraph"/>
        <w:numPr>
          <w:ilvl w:val="0"/>
          <w:numId w:val="2"/>
        </w:numPr>
      </w:pPr>
      <w:r>
        <w:rPr>
          <w:b/>
          <w:sz w:val="22"/>
        </w:rPr>
        <w:t xml:space="preserve">Success Criteria: </w:t>
      </w:r>
      <w:r>
        <w:rPr>
          <w:sz w:val="22"/>
        </w:rPr>
        <w:t>Defined in advance based on Discovery Workshop findings—typically including migration accuracy, performance benchmarks, and automation metrics.</w:t>
      </w:r>
    </w:p>
    <w:p>
      <w:pPr>
        <w:pStyle w:val="ListParagraph"/>
        <w:numPr>
          <w:ilvl w:val="0"/>
          <w:numId w:val="2"/>
        </w:numPr>
      </w:pPr>
      <w:r>
        <w:rPr>
          <w:b/>
          <w:sz w:val="22"/>
        </w:rPr>
        <w:t xml:space="preserve">Deliverables: </w:t>
      </w:r>
      <w:r>
        <w:rPr>
          <w:sz w:val="22"/>
        </w:rPr>
        <w:t>Production-ready migrated workload, validated performance metrics, updated business case with actuals replacing projections, and detailed proposal for the Foundation phase.</w:t>
      </w:r>
    </w:p>
    <w:p>
      <w:pPr>
        <w:pStyle w:val="ListParagraph"/>
        <w:numPr>
          <w:ilvl w:val="0"/>
          <w:numId w:val="2"/>
        </w:numPr>
      </w:pPr>
      <w:r>
        <w:rPr>
          <w:b/>
          <w:sz w:val="22"/>
        </w:rPr>
        <w:t xml:space="preserve">Decision Point: </w:t>
      </w:r>
      <w:r>
        <w:rPr>
          <w:sz w:val="22"/>
        </w:rPr>
        <w:t>At the conclusion of the POV, the organization has concrete evidence to make an informed go/no-go decision on the broader transformation program.</w:t>
      </w:r>
    </w:p>
    <w:p>
      <w:pPr>
        <w:pStyle w:val="Heading2"/>
      </w:pPr>
      <w:r>
        <w:rPr>
          <w:color w:val="0F4761"/>
          <w:sz w:val="32"/>
        </w:rPr>
        <w:t>7.3 Timeline and Engagement Model</w:t>
      </w:r>
    </w:p>
    <w:p>
      <w:pPr/>
      <w:r>
        <w:rPr>
          <w:sz w:val="22"/>
        </w:rPr>
        <w:t>The following timeline provides a realistic projection of the engagement arc from initial Discovery Workshop through full platform maturity. Champions should present this as a planning framework, noting that specific timelines will be refined based on the organization’s complexity, readiness, and priorities.</w:t>
      </w:r>
    </w:p>
    <w:p>
      <w:pPr>
        <w:pStyle w:val="ListParagraph"/>
        <w:numPr>
          <w:ilvl w:val="0"/>
          <w:numId w:val="2"/>
        </w:numPr>
      </w:pPr>
      <w:r>
        <w:rPr>
          <w:b/>
          <w:sz w:val="22"/>
        </w:rPr>
        <w:t xml:space="preserve">Weeks 1–2: </w:t>
      </w:r>
      <w:r>
        <w:rPr>
          <w:sz w:val="22"/>
        </w:rPr>
        <w:t>Discovery Workshop—assessment, roadmap, and business case development.</w:t>
      </w:r>
    </w:p>
    <w:p>
      <w:pPr>
        <w:pStyle w:val="ListParagraph"/>
        <w:numPr>
          <w:ilvl w:val="0"/>
          <w:numId w:val="2"/>
        </w:numPr>
      </w:pPr>
      <w:r>
        <w:rPr>
          <w:b/>
          <w:sz w:val="22"/>
        </w:rPr>
        <w:t xml:space="preserve">Weeks 3–8: </w:t>
      </w:r>
      <w:r>
        <w:rPr>
          <w:sz w:val="22"/>
        </w:rPr>
        <w:t>Proof of Value—representative workload migration and validation.</w:t>
      </w:r>
    </w:p>
    <w:p>
      <w:pPr>
        <w:pStyle w:val="ListParagraph"/>
        <w:numPr>
          <w:ilvl w:val="0"/>
          <w:numId w:val="2"/>
        </w:numPr>
      </w:pPr>
      <w:r>
        <w:rPr>
          <w:b/>
          <w:sz w:val="22"/>
        </w:rPr>
        <w:t xml:space="preserve">Months 3–8: </w:t>
      </w:r>
      <w:r>
        <w:rPr>
          <w:sz w:val="22"/>
        </w:rPr>
        <w:t>Foundation Phase—core platform deployment and first production migrations.</w:t>
      </w:r>
    </w:p>
    <w:p>
      <w:pPr>
        <w:pStyle w:val="ListParagraph"/>
        <w:numPr>
          <w:ilvl w:val="0"/>
          <w:numId w:val="2"/>
        </w:numPr>
      </w:pPr>
      <w:r>
        <w:rPr>
          <w:b/>
          <w:sz w:val="22"/>
        </w:rPr>
        <w:t xml:space="preserve">Months 9–18: </w:t>
      </w:r>
      <w:r>
        <w:rPr>
          <w:sz w:val="22"/>
        </w:rPr>
        <w:t>Expansion Phase—broad workload migration, advanced capabilities, and autonomous operations.</w:t>
      </w:r>
    </w:p>
    <w:p>
      <w:pPr>
        <w:pStyle w:val="ListParagraph"/>
        <w:numPr>
          <w:ilvl w:val="0"/>
          <w:numId w:val="2"/>
        </w:numPr>
      </w:pPr>
      <w:r>
        <w:rPr>
          <w:b/>
          <w:sz w:val="22"/>
        </w:rPr>
        <w:t xml:space="preserve">Month 18+: </w:t>
      </w:r>
      <w:r>
        <w:rPr>
          <w:sz w:val="22"/>
        </w:rPr>
        <w:t>Optimization Phase—continuous improvement, new use cases, and evolving operational maturity.</w:t>
      </w:r>
    </w:p>
    <w:p>
      <w:pPr/>
      <w:r>
        <w:rPr>
          <w:sz w:val="22"/>
        </w:rPr>
        <w:t>The engagement model is flexible—Mastech Digital can operate as a dedicated project team, an augmentation to your existing team, or a managed service provider depending on the phase and the organization’s preferences. Knowledge transfer is embedded throughout, with the explicit goal of building internal capability that reduces dependency on external resources over time.</w:t>
      </w:r>
    </w:p>
    <w:p>
      <w:pPr>
        <w:pStyle w:val="Heading1"/>
      </w:pPr>
      <w:r>
        <w:rPr>
          <w:color w:val="0F4761"/>
          <w:sz w:val="40"/>
        </w:rPr>
        <w:t>8. Presentation Tips for the Champion</w:t>
      </w:r>
    </w:p>
    <w:p>
      <w:pPr/>
      <w:r>
        <w:rPr>
          <w:sz w:val="22"/>
        </w:rPr>
        <w:t>The content of the business case is important, but the delivery is equally critical. The following practical tips help Champions deliver the executive presentation with maximum impact. These recommendations are based on best practices from successful transformation advocates across industries.</w:t>
      </w:r>
    </w:p>
    <w:p>
      <w:pPr>
        <w:pStyle w:val="Heading2"/>
      </w:pPr>
      <w:r>
        <w:rPr>
          <w:color w:val="0F4761"/>
          <w:sz w:val="32"/>
        </w:rPr>
        <w:t>8.1 Dos</w:t>
      </w:r>
    </w:p>
    <w:p>
      <w:pPr>
        <w:pStyle w:val="ListParagraph"/>
        <w:numPr>
          <w:ilvl w:val="0"/>
          <w:numId w:val="2"/>
        </w:numPr>
      </w:pPr>
      <w:r>
        <w:rPr>
          <w:b/>
          <w:sz w:val="22"/>
        </w:rPr>
        <w:t xml:space="preserve">Know Your Audience: </w:t>
      </w:r>
      <w:r>
        <w:rPr>
          <w:sz w:val="22"/>
        </w:rPr>
        <w:t>Tailor emphasis to the executives in the room. CFOs care about ROI and payback. CTOs care about architecture and risk. CEOs care about competitive positioning and strategic alignment. Adjust your emphasis accordingly.</w:t>
      </w:r>
    </w:p>
    <w:p>
      <w:pPr>
        <w:pStyle w:val="ListParagraph"/>
        <w:numPr>
          <w:ilvl w:val="0"/>
          <w:numId w:val="2"/>
        </w:numPr>
      </w:pPr>
      <w:r>
        <w:rPr>
          <w:b/>
          <w:sz w:val="22"/>
        </w:rPr>
        <w:t xml:space="preserve">Lead with Business Outcomes: </w:t>
      </w:r>
      <w:r>
        <w:rPr>
          <w:sz w:val="22"/>
        </w:rPr>
        <w:t>Start with what the organization gains, not what the technology does. Executives buy outcomes, not features.</w:t>
      </w:r>
    </w:p>
    <w:p>
      <w:pPr>
        <w:pStyle w:val="ListParagraph"/>
        <w:numPr>
          <w:ilvl w:val="0"/>
          <w:numId w:val="2"/>
        </w:numPr>
      </w:pPr>
      <w:r>
        <w:rPr>
          <w:b/>
          <w:sz w:val="22"/>
        </w:rPr>
        <w:t xml:space="preserve">Use Organization-Specific Data: </w:t>
      </w:r>
      <w:r>
        <w:rPr>
          <w:sz w:val="22"/>
        </w:rPr>
        <w:t>Replace generic metrics with actual numbers from your environment wherever possible. “Our legacy DW costs us $X annually” is infinitely more compelling than “organizations typically spend X.”</w:t>
      </w:r>
    </w:p>
    <w:p>
      <w:pPr>
        <w:pStyle w:val="ListParagraph"/>
        <w:numPr>
          <w:ilvl w:val="0"/>
          <w:numId w:val="2"/>
        </w:numPr>
      </w:pPr>
      <w:r>
        <w:rPr>
          <w:b/>
          <w:sz w:val="22"/>
        </w:rPr>
        <w:t xml:space="preserve">Anticipate Objections: </w:t>
      </w:r>
      <w:r>
        <w:rPr>
          <w:sz w:val="22"/>
        </w:rPr>
        <w:t>Review the Objection Handling Playbook before the presentation and prepare concise responses to the 3–5 objections most likely to arise from this specific audience.</w:t>
      </w:r>
    </w:p>
    <w:p>
      <w:pPr>
        <w:pStyle w:val="ListParagraph"/>
        <w:numPr>
          <w:ilvl w:val="0"/>
          <w:numId w:val="2"/>
        </w:numPr>
      </w:pPr>
      <w:r>
        <w:rPr>
          <w:b/>
          <w:sz w:val="22"/>
        </w:rPr>
        <w:t xml:space="preserve">Have a Clear Ask: </w:t>
      </w:r>
      <w:r>
        <w:rPr>
          <w:sz w:val="22"/>
        </w:rPr>
        <w:t>End with exactly what you want the audience to approve. Ambiguous endings kill momentum.</w:t>
      </w:r>
    </w:p>
    <w:p>
      <w:pPr>
        <w:pStyle w:val="ListParagraph"/>
        <w:numPr>
          <w:ilvl w:val="0"/>
          <w:numId w:val="2"/>
        </w:numPr>
      </w:pPr>
      <w:r>
        <w:rPr>
          <w:b/>
          <w:sz w:val="22"/>
        </w:rPr>
        <w:t xml:space="preserve">Bring an Ally: </w:t>
      </w:r>
      <w:r>
        <w:rPr>
          <w:sz w:val="22"/>
        </w:rPr>
        <w:t>If possible, have a second advocate in the room who can reinforce key points and provide a different perspective. Two voices are more compelling than one.</w:t>
      </w:r>
    </w:p>
    <w:p>
      <w:pPr>
        <w:pStyle w:val="Heading2"/>
      </w:pPr>
      <w:r>
        <w:rPr>
          <w:color w:val="0F4761"/>
          <w:sz w:val="32"/>
        </w:rPr>
        <w:t>8.2 Don’ts</w:t>
      </w:r>
    </w:p>
    <w:p>
      <w:pPr>
        <w:pStyle w:val="ListParagraph"/>
        <w:numPr>
          <w:ilvl w:val="0"/>
          <w:numId w:val="2"/>
        </w:numPr>
      </w:pPr>
      <w:r>
        <w:rPr>
          <w:b/>
          <w:sz w:val="22"/>
        </w:rPr>
        <w:t xml:space="preserve">Don’t Lead with Technology: </w:t>
      </w:r>
      <w:r>
        <w:rPr>
          <w:sz w:val="22"/>
        </w:rPr>
        <w:t>Avoid starting with Databricks features, architecture diagrams, or technical specifications. Technology is a means to an end—lead with the end.</w:t>
      </w:r>
    </w:p>
    <w:p>
      <w:pPr>
        <w:pStyle w:val="ListParagraph"/>
        <w:numPr>
          <w:ilvl w:val="0"/>
          <w:numId w:val="2"/>
        </w:numPr>
      </w:pPr>
      <w:r>
        <w:rPr>
          <w:b/>
          <w:sz w:val="22"/>
        </w:rPr>
        <w:t xml:space="preserve">Don’t Oversell: </w:t>
      </w:r>
      <w:r>
        <w:rPr>
          <w:sz w:val="22"/>
        </w:rPr>
        <w:t>Credibility is your most valuable asset. Use conservative projections, acknowledge uncertainties, and position the POV as the validation step. Overselling creates skepticism that is very difficult to recover from.</w:t>
      </w:r>
    </w:p>
    <w:p>
      <w:pPr>
        <w:pStyle w:val="ListParagraph"/>
        <w:numPr>
          <w:ilvl w:val="0"/>
          <w:numId w:val="2"/>
        </w:numPr>
      </w:pPr>
      <w:r>
        <w:rPr>
          <w:b/>
          <w:sz w:val="22"/>
        </w:rPr>
        <w:t xml:space="preserve">Don’t Disparage Current State: </w:t>
      </w:r>
      <w:r>
        <w:rPr>
          <w:sz w:val="22"/>
        </w:rPr>
        <w:t>The executives in the room approved the current infrastructure. Frame the modernization as evolution, not criticism. “Our current platform served us well and now we need to evolve” is far more effective than “our current platform is failing.”</w:t>
      </w:r>
    </w:p>
    <w:p>
      <w:pPr>
        <w:pStyle w:val="ListParagraph"/>
        <w:numPr>
          <w:ilvl w:val="0"/>
          <w:numId w:val="2"/>
        </w:numPr>
      </w:pPr>
      <w:r>
        <w:rPr>
          <w:b/>
          <w:sz w:val="22"/>
        </w:rPr>
        <w:t xml:space="preserve">Don’t Read Slides: </w:t>
      </w:r>
      <w:r>
        <w:rPr>
          <w:sz w:val="22"/>
        </w:rPr>
        <w:t>Use the presentation as a visual aid, not a script. Executives disengage when presenters read verbatim from slides. Know the material well enough to present conversationally.</w:t>
      </w:r>
    </w:p>
    <w:p>
      <w:pPr>
        <w:pStyle w:val="ListParagraph"/>
        <w:numPr>
          <w:ilvl w:val="0"/>
          <w:numId w:val="2"/>
        </w:numPr>
      </w:pPr>
      <w:r>
        <w:rPr>
          <w:b/>
          <w:sz w:val="22"/>
        </w:rPr>
        <w:t xml:space="preserve">Don’t Ignore the Room: </w:t>
      </w:r>
      <w:r>
        <w:rPr>
          <w:sz w:val="22"/>
        </w:rPr>
        <w:t>Watch for body language and verbal cues. If an executive has a question or concern, address it immediately rather than pushing through to the next slide. Responsiveness builds trust.</w:t>
      </w:r>
    </w:p>
    <w:p>
      <w:pPr>
        <w:pStyle w:val="Heading2"/>
      </w:pPr>
      <w:r>
        <w:rPr>
          <w:color w:val="0F4761"/>
          <w:sz w:val="32"/>
        </w:rPr>
        <w:t>8.3 Handling Questions</w:t>
      </w:r>
    </w:p>
    <w:p>
      <w:pPr/>
      <w:r>
        <w:rPr>
          <w:sz w:val="22"/>
        </w:rPr>
        <w:t>Questions during the presentation are a positive signal—they indicate engagement. Handle questions using the LARRV framework from the Objection Handling Playbook: Listen, Acknowledge, Reframe, Respond, Validate.</w:t>
      </w:r>
    </w:p>
    <w:p>
      <w:pPr>
        <w:pStyle w:val="ListParagraph"/>
        <w:numPr>
          <w:ilvl w:val="0"/>
          <w:numId w:val="2"/>
        </w:numPr>
      </w:pPr>
      <w:r>
        <w:rPr>
          <w:b/>
          <w:sz w:val="22"/>
        </w:rPr>
        <w:t xml:space="preserve">Welcome Questions: </w:t>
      </w:r>
      <w:r>
        <w:rPr>
          <w:sz w:val="22"/>
        </w:rPr>
        <w:t>Explicitly invite questions at the start of the presentation. “I welcome questions throughout—please interrupt if anything needs clarification.” This signals confidence and openness.</w:t>
      </w:r>
    </w:p>
    <w:p>
      <w:pPr>
        <w:pStyle w:val="ListParagraph"/>
        <w:numPr>
          <w:ilvl w:val="0"/>
          <w:numId w:val="2"/>
        </w:numPr>
      </w:pPr>
      <w:r>
        <w:rPr>
          <w:b/>
          <w:sz w:val="22"/>
        </w:rPr>
        <w:t xml:space="preserve">Pause Before Responding: </w:t>
      </w:r>
      <w:r>
        <w:rPr>
          <w:sz w:val="22"/>
        </w:rPr>
        <w:t>Take a moment to formulate your response. A thoughtful pause conveys consideration; an immediate response can seem rehearsed or defensive.</w:t>
      </w:r>
    </w:p>
    <w:p>
      <w:pPr>
        <w:pStyle w:val="ListParagraph"/>
        <w:numPr>
          <w:ilvl w:val="0"/>
          <w:numId w:val="2"/>
        </w:numPr>
      </w:pPr>
      <w:r>
        <w:rPr>
          <w:b/>
          <w:sz w:val="22"/>
        </w:rPr>
        <w:t xml:space="preserve">Admit What You Don’t Know: </w:t>
      </w:r>
      <w:r>
        <w:rPr>
          <w:sz w:val="22"/>
        </w:rPr>
        <w:t>If you don’t have an answer, say so honestly and commit to a follow-up. “That’s an excellent question. I don’t have the specific data point, but I’ll get that to you by the end of the week.” Honesty builds credibility.</w:t>
      </w:r>
    </w:p>
    <w:p>
      <w:pPr>
        <w:pStyle w:val="ListParagraph"/>
        <w:numPr>
          <w:ilvl w:val="0"/>
          <w:numId w:val="2"/>
        </w:numPr>
      </w:pPr>
      <w:r>
        <w:rPr>
          <w:b/>
          <w:sz w:val="22"/>
        </w:rPr>
        <w:t xml:space="preserve">Bridge to the Ask: </w:t>
      </w:r>
      <w:r>
        <w:rPr>
          <w:sz w:val="22"/>
        </w:rPr>
        <w:t>Use questions as opportunities to reinforce the recommended next step. “That’s exactly the kind of question the Discovery Workshop is designed to answer with our specific data.”</w:t>
      </w:r>
    </w:p>
    <w:p>
      <w:pPr>
        <w:pStyle w:val="Heading2"/>
      </w:pPr>
      <w:r>
        <w:rPr>
          <w:color w:val="0F4761"/>
          <w:sz w:val="32"/>
        </w:rPr>
        <w:t>8.4 Follow-Up</w:t>
      </w:r>
    </w:p>
    <w:p>
      <w:pPr/>
      <w:r>
        <w:rPr>
          <w:sz w:val="22"/>
        </w:rPr>
        <w:t>The presentation is not the end of the Champion’s work—it is the beginning of the decision-making process. Effective follow-up maintains momentum and prevents the initiative from losing priority among competing demands.</w:t>
      </w:r>
    </w:p>
    <w:p>
      <w:pPr>
        <w:pStyle w:val="ListParagraph"/>
        <w:numPr>
          <w:ilvl w:val="0"/>
          <w:numId w:val="2"/>
        </w:numPr>
      </w:pPr>
      <w:r>
        <w:rPr>
          <w:b/>
          <w:sz w:val="22"/>
        </w:rPr>
        <w:t xml:space="preserve">Same-Day Summary: </w:t>
      </w:r>
      <w:r>
        <w:rPr>
          <w:sz w:val="22"/>
        </w:rPr>
        <w:t>Send a brief email within 24 hours summarizing the key points discussed, the recommended next step, and any follow-up items committed during the meeting.</w:t>
      </w:r>
    </w:p>
    <w:p>
      <w:pPr>
        <w:pStyle w:val="ListParagraph"/>
        <w:numPr>
          <w:ilvl w:val="0"/>
          <w:numId w:val="2"/>
        </w:numPr>
      </w:pPr>
      <w:r>
        <w:rPr>
          <w:b/>
          <w:sz w:val="22"/>
        </w:rPr>
        <w:t xml:space="preserve">Address Follow-Up Questions: </w:t>
      </w:r>
      <w:r>
        <w:rPr>
          <w:sz w:val="22"/>
        </w:rPr>
        <w:t>Any questions that were deferred during the presentation should be answered within 48 hours, demonstrating responsiveness and thoroughness.</w:t>
      </w:r>
    </w:p>
    <w:p>
      <w:pPr>
        <w:pStyle w:val="ListParagraph"/>
        <w:numPr>
          <w:ilvl w:val="0"/>
          <w:numId w:val="2"/>
        </w:numPr>
      </w:pPr>
      <w:r>
        <w:rPr>
          <w:b/>
          <w:sz w:val="22"/>
        </w:rPr>
        <w:t xml:space="preserve">Socialize with Key Stakeholders: </w:t>
      </w:r>
      <w:r>
        <w:rPr>
          <w:sz w:val="22"/>
        </w:rPr>
        <w:t>Have individual follow-up conversations with key executives who were in the room, addressing any concerns they may not have raised publicly.</w:t>
      </w:r>
    </w:p>
    <w:p>
      <w:pPr>
        <w:pStyle w:val="ListParagraph"/>
        <w:numPr>
          <w:ilvl w:val="0"/>
          <w:numId w:val="2"/>
        </w:numPr>
      </w:pPr>
      <w:r>
        <w:rPr>
          <w:b/>
          <w:sz w:val="22"/>
        </w:rPr>
        <w:t xml:space="preserve">Propose Next Meeting: </w:t>
      </w:r>
      <w:r>
        <w:rPr>
          <w:sz w:val="22"/>
        </w:rPr>
        <w:t>Include a specific proposed date for the Discovery Workshop kickoff in the follow-up communication. Making it easy to say yes accelerates decision-making.</w:t>
      </w:r>
    </w:p>
    <w:p>
      <w:pPr>
        <w:pStyle w:val="ListParagraph"/>
        <w:numPr>
          <w:ilvl w:val="0"/>
          <w:numId w:val="2"/>
        </w:numPr>
      </w:pPr>
      <w:r>
        <w:rPr>
          <w:b/>
          <w:sz w:val="22"/>
        </w:rPr>
        <w:t xml:space="preserve">Engage Mastech Support: </w:t>
      </w:r>
      <w:r>
        <w:rPr>
          <w:sz w:val="22"/>
        </w:rPr>
        <w:t>Coordinate with the Mastech Digital sales team for any supporting materials, reference calls, or additional information requested during the presentation.</w:t>
      </w:r>
    </w:p>
    <w:p>
      <w:pPr>
        <w:pStyle w:val="Heading1"/>
      </w:pPr>
      <w:r>
        <w:rPr>
          <w:color w:val="0F4761"/>
          <w:sz w:val="40"/>
        </w:rPr>
        <w:t>9. Conclusion</w:t>
      </w:r>
    </w:p>
    <w:p>
      <w:pPr/>
      <w:r>
        <w:rPr>
          <w:sz w:val="22"/>
        </w:rPr>
        <w:t>The Executive Presentation Narrative is the Champion’s most powerful tool for driving organizational commitment to the Databricks transformation initiative. By following the five-act structure—Burning Platform, Vision, Solution, Business Case, The Ask—the Champion takes executives on a logical, emotionally resonant journey from awareness to action.</w:t>
      </w:r>
    </w:p>
    <w:p>
      <w:pPr/>
      <w:r>
        <w:rPr>
          <w:sz w:val="22"/>
        </w:rPr>
        <w:t>The key to a successful presentation is authenticity and preparation. The narrative framework provides structure, but the Champion’s personal conviction, organizational knowledge, and stakeholder relationships provide the credibility that no document can replicate. Champions who take the time to customize this narrative with their organization’s specific data, pain points, and strategic priorities will deliver a presentation that feels personal and compelling rather than generic and promotional.</w:t>
      </w:r>
    </w:p>
    <w:p>
      <w:pPr/>
      <w:r>
        <w:rPr>
          <w:sz w:val="22"/>
        </w:rPr>
        <w:t>Mastech Digital’s sales team should work closely with the Champion to customize this narrative, rehearse the delivery, anticipate likely questions, and prepare supporting materials. The pre-presentation coaching session is one of the highest-leverage investments in the entire sales process—ensuring the Champion walks into the executive meeting with confidence, clarity, and a compelling story that moves the organization from consideration to commitment.</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tabs>
        <w:tab w:val="right" w:pos="9360"/>
      </w:tabs>
    </w:pPr>
    <w:r>
      <w:rPr>
        <w:color w:val="595959"/>
        <w:sz w:val="18"/>
      </w:rPr>
      <w:t>Intended for internal use and client delivery</w:t>
    </w:r>
    <w:r>
      <w:rPr>
        <w:sz w:val="18"/>
      </w:rPr>
      <w:tab/>
    </w:r>
    <w:r>
      <w:rPr>
        <w:color w:val="595959"/>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