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Objection Handling Playbook</w:t>
      </w:r>
    </w:p>
    <w:p>
      <w:pPr/>
    </w:p>
    <w:p>
      <w:pPr>
        <w:pStyle w:val="Subtitle"/>
      </w:pPr>
      <w:r>
        <w:rPr>
          <w:i/>
          <w:color w:val="595959"/>
          <w:sz w:val="28"/>
        </w:rPr>
        <w:t>Overcoming Common Resistance to Databricks Transformation</w:t>
      </w:r>
    </w:p>
    <w:p>
      <w:pPr/>
    </w:p>
    <w:p>
      <w:pPr/>
    </w:p>
    <w:p>
      <w:pPr/>
    </w:p>
    <w:p>
      <w:pPr/>
      <w:r>
        <w:rPr>
          <w:b/>
          <w:color w:val="0F4761"/>
          <w:sz w:val="28"/>
        </w:rPr>
        <w:t>Mastech Digital | Databricks Practice</w:t>
      </w:r>
    </w:p>
    <w:p>
      <w:pPr/>
      <w:r>
        <w:rPr>
          <w:i/>
          <w:color w:val="595959"/>
          <w:sz w:val="22"/>
        </w:rPr>
        <w:t>Confidential</w:t>
      </w:r>
    </w:p>
    <w:p>
      <w:r>
        <w:br w:type="page"/>
      </w:r>
    </w:p>
    <w:p>
      <w:pPr>
        <w:pStyle w:val="Heading1"/>
      </w:pPr>
      <w:r>
        <w:rPr>
          <w:color w:val="0F4761"/>
          <w:sz w:val="40"/>
        </w:rPr>
        <w:t>1. Executive Summary</w:t>
      </w:r>
    </w:p>
    <w:p>
      <w:pPr/>
      <w:r>
        <w:rPr>
          <w:sz w:val="22"/>
        </w:rPr>
        <w:t>Objections are not obstacles—they are buying signals. When a stakeholder raises a concern about cost, risk, competition, or organizational readiness, they are engaging with the possibility of change. The absence of objections is far more dangerous than their presence, because it typically signals disengagement or apathy. This Objection Handling Playbook equips both the Mastech Digital sales team and the internal Champion with structured, credible responses to the most common forms of resistance encountered during Databricks transformation sales cycles.</w:t>
      </w:r>
    </w:p>
    <w:p>
      <w:pPr/>
      <w:r>
        <w:rPr>
          <w:sz w:val="22"/>
        </w:rPr>
        <w:t>In complex enterprise sales, objections rarely arise in formal settings alone. They surface in hallway conversations, budget review meetings, architectural review boards, and executive committee sessions—often when the sales team is not present. This is precisely why the Champion’s ability to handle objections is as important as the sales team’s. An unprepared Champion who cannot credibly respond to a CFO’s cost concern or a CTO’s technical question can derail months of sales effort in a single conversation.</w:t>
      </w:r>
    </w:p>
    <w:p>
      <w:pPr/>
      <w:r>
        <w:rPr>
          <w:sz w:val="22"/>
        </w:rPr>
        <w:t>This playbook organizes objections into five categories—Cost &amp; Budget, Risk &amp; Disruption, Technical, Organizational, and Competitive—and provides a structured response framework for each. Every objection response follows the LARRV methodology: Listen, Acknowledge, Reframe, Respond, Validate. This ensures that objections are addressed empathetically and completely, transforming potential deal-breakers into opportunities to demonstrate value and deepen stakeholder confidence.</w:t>
      </w:r>
    </w:p>
    <w:p>
      <w:pPr>
        <w:pStyle w:val="Heading1"/>
      </w:pPr>
      <w:r>
        <w:rPr>
          <w:color w:val="0F4761"/>
          <w:sz w:val="40"/>
        </w:rPr>
        <w:t>2. Objection Handling Framework – LARRV</w:t>
      </w:r>
    </w:p>
    <w:p>
      <w:pPr/>
      <w:r>
        <w:rPr>
          <w:sz w:val="22"/>
        </w:rPr>
        <w:t>The LARRV framework provides a disciplined, repeatable approach to objection handling that prevents the two most common mistakes: becoming defensive and jumping to a response before the stakeholder feels heard. By following these five steps, sales professionals and Champions can transform objections into productive conversations that advance the deal.</w:t>
      </w:r>
    </w:p>
    <w:p>
      <w:pPr>
        <w:pStyle w:val="Heading2"/>
      </w:pPr>
      <w:r>
        <w:rPr>
          <w:color w:val="0F4761"/>
          <w:sz w:val="32"/>
        </w:rPr>
        <w:t>Listen</w:t>
      </w:r>
    </w:p>
    <w:p>
      <w:pPr/>
      <w:r>
        <w:rPr>
          <w:sz w:val="22"/>
        </w:rPr>
        <w:t>Give the stakeholder your full attention. Do not interrupt or begin formulating your response while they are speaking. Ask clarifying questions to ensure you understand not just the stated objection, but the underlying concern driving it. Often, the real objection is different from the surface-level question. A CFO who asks “Is this too expensive?” may really be asking “Can I justify this to the board?” Understanding the true concern is essential to providing an effective response.</w:t>
      </w:r>
    </w:p>
    <w:p>
      <w:pPr>
        <w:pStyle w:val="Heading2"/>
      </w:pPr>
      <w:r>
        <w:rPr>
          <w:color w:val="0F4761"/>
          <w:sz w:val="32"/>
        </w:rPr>
        <w:t>Acknowledge</w:t>
      </w:r>
    </w:p>
    <w:p>
      <w:pPr/>
      <w:r>
        <w:rPr>
          <w:sz w:val="22"/>
        </w:rPr>
        <w:t>Validate the stakeholder’s concern as legitimate. Phrases like “That’s an important consideration” or “I understand why that would be a concern” demonstrate respect and prevent the conversation from becoming adversarial. Acknowledgment is not agreement—you are not conceding the point. You are signaling that you take the stakeholder’s perspective seriously and that your response will address their specific concern, not a generic talking point.</w:t>
      </w:r>
    </w:p>
    <w:p>
      <w:pPr>
        <w:pStyle w:val="Heading2"/>
      </w:pPr>
      <w:r>
        <w:rPr>
          <w:color w:val="0F4761"/>
          <w:sz w:val="32"/>
        </w:rPr>
        <w:t>Reframe</w:t>
      </w:r>
    </w:p>
    <w:p>
      <w:pPr/>
      <w:r>
        <w:rPr>
          <w:sz w:val="22"/>
        </w:rPr>
        <w:t>Shift the context to provide a more complete picture. Reframing does not dismiss the objection—it expands the frame of reference to include factors the stakeholder may not have considered. For example, reframing a cost objection to include the cost of inaction, or reframing a risk objection to compare migration risk against the risk of remaining on an aging, unsupported platform. Effective reframing helps the stakeholder see the decision in the context of their broader strategic objectives.</w:t>
      </w:r>
    </w:p>
    <w:p>
      <w:pPr>
        <w:pStyle w:val="Heading2"/>
      </w:pPr>
      <w:r>
        <w:rPr>
          <w:color w:val="0F4761"/>
          <w:sz w:val="32"/>
        </w:rPr>
        <w:t>Respond</w:t>
      </w:r>
    </w:p>
    <w:p>
      <w:pPr/>
      <w:r>
        <w:rPr>
          <w:sz w:val="22"/>
        </w:rPr>
        <w:t>Deliver a concise, evidence-based response that directly addresses the reframed concern. Use quantified metrics, proof points, and specific examples wherever possible. Avoid generic reassurances—stakeholders in complex enterprise sales are sophisticated enough to distinguish between substantive responses and marketing platitudes. The best responses include a specific mechanism (how the concern is addressed) and a proof point (evidence that the mechanism works).</w:t>
      </w:r>
    </w:p>
    <w:p>
      <w:pPr>
        <w:pStyle w:val="Heading2"/>
      </w:pPr>
      <w:r>
        <w:rPr>
          <w:color w:val="0F4761"/>
          <w:sz w:val="32"/>
        </w:rPr>
        <w:t>Validate</w:t>
      </w:r>
    </w:p>
    <w:p>
      <w:pPr/>
      <w:r>
        <w:rPr>
          <w:sz w:val="22"/>
        </w:rPr>
        <w:t>Confirm that your response has adequately addressed the stakeholder’s concern. Ask explicitly: “Does that address your concern?” or “Is there a specific aspect of this you’d like me to go deeper on?” Validation serves two purposes: it ensures the objection is truly resolved (rather than merely suppressed), and it demonstrates confidence in your response. An unvalidated objection will resurface at the worst possible moment—typically in a decision meeting where you are not present.</w:t>
      </w:r>
    </w:p>
    <w:p>
      <w:pPr>
        <w:pStyle w:val="Heading1"/>
      </w:pPr>
      <w:r>
        <w:rPr>
          <w:color w:val="0F4761"/>
          <w:sz w:val="40"/>
        </w:rPr>
        <w:t>3. Cost &amp; Budget Objections</w:t>
      </w:r>
    </w:p>
    <w:p>
      <w:pPr/>
      <w:r>
        <w:rPr>
          <w:sz w:val="22"/>
        </w:rPr>
        <w:t>Cost objections are the most frequently raised concerns in enterprise transformation sales. They typically originate from finance stakeholders, but can also surface from IT leaders under budget pressure or executives who have been burned by previous technology investments that failed to deliver promised returns. The key to handling cost objections is shifting the conversation from upfront investment to total cost of ownership, cost of inaction, and time-to-value.</w:t>
      </w:r>
    </w:p>
    <w:p>
      <w:pPr>
        <w:pStyle w:val="Heading2"/>
      </w:pPr>
      <w:r>
        <w:rPr>
          <w:color w:val="0F4761"/>
          <w:sz w:val="32"/>
        </w:rPr>
        <w:t>3.1 “It’s too expensive”</w:t>
      </w:r>
    </w:p>
    <w:p>
      <w:pPr>
        <w:pStyle w:val="Heading3"/>
      </w:pPr>
      <w:r>
        <w:rPr>
          <w:color w:val="0F4761"/>
          <w:sz w:val="28"/>
        </w:rPr>
        <w:t>Reframe</w:t>
      </w:r>
    </w:p>
    <w:p>
      <w:pPr/>
      <w:r>
        <w:rPr>
          <w:sz w:val="22"/>
        </w:rPr>
        <w:t>The question isn’t whether the investment is large—it is. The question is whether it’s larger or smaller than the cost of maintaining the status quo. Most organizations underestimate their true cost of legacy data infrastructure because the costs are distributed across licensing, maintenance, manual labor, incident response, opportunity cost, and technical debt accumulation.</w:t>
      </w:r>
    </w:p>
    <w:p>
      <w:pPr>
        <w:pStyle w:val="Heading3"/>
      </w:pPr>
      <w:r>
        <w:rPr>
          <w:color w:val="0F4761"/>
          <w:sz w:val="28"/>
        </w:rPr>
        <w:t>Respond</w:t>
      </w:r>
    </w:p>
    <w:p>
      <w:pPr>
        <w:pStyle w:val="ListParagraph"/>
        <w:numPr>
          <w:ilvl w:val="0"/>
          <w:numId w:val="2"/>
        </w:numPr>
      </w:pPr>
      <w:r>
        <w:rPr>
          <w:b/>
          <w:sz w:val="22"/>
        </w:rPr>
        <w:t xml:space="preserve">TCO Comparison: </w:t>
      </w:r>
      <w:r>
        <w:rPr>
          <w:sz w:val="22"/>
        </w:rPr>
        <w:t>When we analyze the full total cost of ownership—including legacy licensing, maintenance contracts, manual ETL development and maintenance, data quality incident remediation, and infrastructure over-provisioning—organizations typically find their current spend is 40–60% higher than a modernized Databricks platform.</w:t>
      </w:r>
    </w:p>
    <w:p>
      <w:pPr>
        <w:pStyle w:val="ListParagraph"/>
        <w:numPr>
          <w:ilvl w:val="0"/>
          <w:numId w:val="2"/>
        </w:numPr>
      </w:pPr>
      <w:r>
        <w:rPr>
          <w:b/>
          <w:sz w:val="22"/>
        </w:rPr>
        <w:t xml:space="preserve">Legacy Cost Escalation: </w:t>
      </w:r>
      <w:r>
        <w:rPr>
          <w:sz w:val="22"/>
        </w:rPr>
        <w:t>Legacy costs don’t stay flat—they escalate. License renewals increase 5–10% annually, finding engineers who can maintain legacy systems becomes harder and more expensive every year, and the operational overhead of managing aging infrastructure compounds over time.</w:t>
      </w:r>
    </w:p>
    <w:p>
      <w:pPr>
        <w:pStyle w:val="ListParagraph"/>
        <w:numPr>
          <w:ilvl w:val="0"/>
          <w:numId w:val="2"/>
        </w:numPr>
      </w:pPr>
      <w:r>
        <w:rPr>
          <w:b/>
          <w:sz w:val="22"/>
        </w:rPr>
        <w:t xml:space="preserve">Phased Investment: </w:t>
      </w:r>
      <w:r>
        <w:rPr>
          <w:sz w:val="22"/>
        </w:rPr>
        <w:t>The investment is not a single large commitment. It’s a phased approach where the POV costs a modest amount, validates the business case, and each subsequent phase is funded based on demonstrated results from the previous phase.</w:t>
      </w:r>
    </w:p>
    <w:p>
      <w:pPr>
        <w:pStyle w:val="ListParagraph"/>
        <w:numPr>
          <w:ilvl w:val="0"/>
          <w:numId w:val="2"/>
        </w:numPr>
      </w:pPr>
      <w:r>
        <w:rPr>
          <w:b/>
          <w:sz w:val="22"/>
        </w:rPr>
        <w:t xml:space="preserve">Self-Funding Model: </w:t>
      </w:r>
      <w:r>
        <w:rPr>
          <w:sz w:val="22"/>
        </w:rPr>
        <w:t>Cost savings from the first migration wave—legacy license retirement, reduced manual effort, infrastructure optimization—typically fund 50–70% of subsequent phases, creating a largely self-funding transformation.</w:t>
      </w:r>
    </w:p>
    <w:p>
      <w:pPr>
        <w:pStyle w:val="Heading2"/>
      </w:pPr>
      <w:r>
        <w:rPr>
          <w:color w:val="0F4761"/>
          <w:sz w:val="32"/>
        </w:rPr>
        <w:t>3.2 “We can’t justify the investment”</w:t>
      </w:r>
    </w:p>
    <w:p>
      <w:pPr>
        <w:pStyle w:val="Heading3"/>
      </w:pPr>
      <w:r>
        <w:rPr>
          <w:color w:val="0F4761"/>
          <w:sz w:val="28"/>
        </w:rPr>
        <w:t>Reframe</w:t>
      </w:r>
    </w:p>
    <w:p>
      <w:pPr/>
      <w:r>
        <w:rPr>
          <w:sz w:val="22"/>
        </w:rPr>
        <w:t>The challenge is not justifying the investment—it’s quantifying the cost of inaction. Every quarter of delay means another quarter of escalating legacy costs, missed AI opportunities, and widening competitive gaps. The business case should compare the investment against the baseline trajectory, not against zero.</w:t>
      </w:r>
    </w:p>
    <w:p>
      <w:pPr>
        <w:pStyle w:val="Heading3"/>
      </w:pPr>
      <w:r>
        <w:rPr>
          <w:color w:val="0F4761"/>
          <w:sz w:val="28"/>
        </w:rPr>
        <w:t>Respond</w:t>
      </w:r>
    </w:p>
    <w:p>
      <w:pPr>
        <w:pStyle w:val="ListParagraph"/>
        <w:numPr>
          <w:ilvl w:val="0"/>
          <w:numId w:val="2"/>
        </w:numPr>
      </w:pPr>
      <w:r>
        <w:rPr>
          <w:b/>
          <w:sz w:val="22"/>
        </w:rPr>
        <w:t xml:space="preserve">Cost of Inaction: </w:t>
      </w:r>
      <w:r>
        <w:rPr>
          <w:sz w:val="22"/>
        </w:rPr>
        <w:t>Calculate the annual cost of maintaining your current data infrastructure—licensing, headcount, incidents, lost productivity—and project it forward 3 years. The cumulative cost of inaction typically exceeds the modernization investment by 2–3x.</w:t>
      </w:r>
    </w:p>
    <w:p>
      <w:pPr>
        <w:pStyle w:val="ListParagraph"/>
        <w:numPr>
          <w:ilvl w:val="0"/>
          <w:numId w:val="2"/>
        </w:numPr>
      </w:pPr>
      <w:r>
        <w:rPr>
          <w:b/>
          <w:sz w:val="22"/>
        </w:rPr>
        <w:t xml:space="preserve">Payback Period: </w:t>
      </w:r>
      <w:r>
        <w:rPr>
          <w:sz w:val="22"/>
        </w:rPr>
        <w:t>Initial investment achieves financial payback within 12–18 months through TCO reduction, productivity gains, and operational efficiencies. Three-year cumulative ROI projects to 3–5x.</w:t>
      </w:r>
    </w:p>
    <w:p>
      <w:pPr>
        <w:pStyle w:val="ListParagraph"/>
        <w:numPr>
          <w:ilvl w:val="0"/>
          <w:numId w:val="2"/>
        </w:numPr>
      </w:pPr>
      <w:r>
        <w:rPr>
          <w:b/>
          <w:sz w:val="22"/>
        </w:rPr>
        <w:t xml:space="preserve">Revenue Impact: </w:t>
      </w:r>
      <w:r>
        <w:rPr>
          <w:sz w:val="22"/>
        </w:rPr>
        <w:t>Beyond cost savings, modernization enables revenue-generating capabilities: faster time to market for data products, AI-driven customer experiences, and data monetization opportunities that are impossible on legacy platforms.</w:t>
      </w:r>
    </w:p>
    <w:p>
      <w:pPr>
        <w:pStyle w:val="ListParagraph"/>
        <w:numPr>
          <w:ilvl w:val="0"/>
          <w:numId w:val="2"/>
        </w:numPr>
      </w:pPr>
      <w:r>
        <w:rPr>
          <w:b/>
          <w:sz w:val="22"/>
        </w:rPr>
        <w:t xml:space="preserve">Competitive Risk: </w:t>
      </w:r>
      <w:r>
        <w:rPr>
          <w:sz w:val="22"/>
        </w:rPr>
        <w:t>Your competitors are making these investments now. The question is not whether to modernize, but whether to do it proactively on your timeline or reactively when competitive pressure forces your hand.</w:t>
      </w:r>
    </w:p>
    <w:p>
      <w:pPr>
        <w:pStyle w:val="Heading2"/>
      </w:pPr>
      <w:r>
        <w:rPr>
          <w:color w:val="0F4761"/>
          <w:sz w:val="32"/>
        </w:rPr>
        <w:t>3.3 “We already invested in [competitor]”</w:t>
      </w:r>
    </w:p>
    <w:p>
      <w:pPr>
        <w:pStyle w:val="Heading3"/>
      </w:pPr>
      <w:r>
        <w:rPr>
          <w:color w:val="0F4761"/>
          <w:sz w:val="28"/>
        </w:rPr>
        <w:t>Reframe</w:t>
      </w:r>
    </w:p>
    <w:p>
      <w:pPr/>
      <w:r>
        <w:rPr>
          <w:sz w:val="22"/>
        </w:rPr>
        <w:t>Existing investments are sunk costs. The relevant question is forward-looking: which platform best serves your strategic needs for the next 5–10 years? Many organizations find that their existing investments address some needs (typically analytics/BI) but create gaps in others (AI/ML, streaming, data engineering). The goal is not to waste existing investments but to build toward the right long-term architecture.</w:t>
      </w:r>
    </w:p>
    <w:p>
      <w:pPr>
        <w:pStyle w:val="Heading3"/>
      </w:pPr>
      <w:r>
        <w:rPr>
          <w:color w:val="0F4761"/>
          <w:sz w:val="28"/>
        </w:rPr>
        <w:t>Respond</w:t>
      </w:r>
    </w:p>
    <w:p>
      <w:pPr>
        <w:pStyle w:val="ListParagraph"/>
        <w:numPr>
          <w:ilvl w:val="0"/>
          <w:numId w:val="2"/>
        </w:numPr>
      </w:pPr>
      <w:r>
        <w:rPr>
          <w:b/>
          <w:sz w:val="22"/>
        </w:rPr>
        <w:t xml:space="preserve">Coexistence Path: </w:t>
      </w:r>
      <w:r>
        <w:rPr>
          <w:sz w:val="22"/>
        </w:rPr>
        <w:t>Databricks can coexist with existing investments during a transition period. You don’t have to rip and replace overnight—we can deploy Databricks alongside your current tools and migrate workloads incrementally based on business value.</w:t>
      </w:r>
    </w:p>
    <w:p>
      <w:pPr>
        <w:pStyle w:val="ListParagraph"/>
        <w:numPr>
          <w:ilvl w:val="0"/>
          <w:numId w:val="2"/>
        </w:numPr>
      </w:pPr>
      <w:r>
        <w:rPr>
          <w:b/>
          <w:sz w:val="22"/>
        </w:rPr>
        <w:t xml:space="preserve">Incremental Approach: </w:t>
      </w:r>
      <w:r>
        <w:rPr>
          <w:sz w:val="22"/>
        </w:rPr>
        <w:t>Start with workloads where Databricks delivers the clearest advantage—AI/ML, streaming data, complex data engineering—while existing tools continue serving current analytical workloads.</w:t>
      </w:r>
    </w:p>
    <w:p>
      <w:pPr>
        <w:pStyle w:val="ListParagraph"/>
        <w:numPr>
          <w:ilvl w:val="0"/>
          <w:numId w:val="2"/>
        </w:numPr>
      </w:pPr>
      <w:r>
        <w:rPr>
          <w:b/>
          <w:sz w:val="22"/>
        </w:rPr>
        <w:t xml:space="preserve">Strategic Direction: </w:t>
      </w:r>
      <w:r>
        <w:rPr>
          <w:sz w:val="22"/>
        </w:rPr>
        <w:t>Evaluate where the market is heading. Databricks’ open lakehouse architecture is becoming the industry standard for unified data and AI. Building on open standards (Delta Lake, Apache Spark, MLflow) protects your future investment flexibility.</w:t>
      </w:r>
    </w:p>
    <w:p>
      <w:pPr>
        <w:pStyle w:val="ListParagraph"/>
        <w:numPr>
          <w:ilvl w:val="0"/>
          <w:numId w:val="2"/>
        </w:numPr>
      </w:pPr>
      <w:r>
        <w:rPr>
          <w:b/>
          <w:sz w:val="22"/>
        </w:rPr>
        <w:t xml:space="preserve">License Optimization: </w:t>
      </w:r>
      <w:r>
        <w:rPr>
          <w:sz w:val="22"/>
        </w:rPr>
        <w:t>As workloads migrate, existing licenses can often be downsized or renegotiated, recovering a significant portion of the ongoing costs to fund the Databricks investment.</w:t>
      </w:r>
    </w:p>
    <w:p>
      <w:pPr>
        <w:pStyle w:val="Heading1"/>
      </w:pPr>
      <w:r>
        <w:rPr>
          <w:color w:val="0F4761"/>
          <w:sz w:val="40"/>
        </w:rPr>
        <w:t>4. Risk &amp; Disruption Objections</w:t>
      </w:r>
    </w:p>
    <w:p>
      <w:pPr/>
      <w:r>
        <w:rPr>
          <w:sz w:val="22"/>
        </w:rPr>
        <w:t>Risk objections are often the most emotionally charged because they tap into past negative experiences with technology transformations. Many enterprise stakeholders have lived through failed migrations, blown budgets, and missed deadlines. The key to handling risk objections is not to dismiss the concern but to demonstrate specific, concrete mechanisms that mitigate each risk factor. Abstract reassurances like “we have a proven methodology” are insufficient—stakeholders need to understand exactly how risk is controlled.</w:t>
      </w:r>
    </w:p>
    <w:p>
      <w:pPr>
        <w:pStyle w:val="Heading2"/>
      </w:pPr>
      <w:r>
        <w:rPr>
          <w:color w:val="0F4761"/>
          <w:sz w:val="32"/>
        </w:rPr>
        <w:t>4.1 “Too risky to migrate”</w:t>
      </w:r>
    </w:p>
    <w:p>
      <w:pPr>
        <w:pStyle w:val="Heading3"/>
      </w:pPr>
      <w:r>
        <w:rPr>
          <w:color w:val="0F4761"/>
          <w:sz w:val="28"/>
        </w:rPr>
        <w:t>Reframe</w:t>
      </w:r>
    </w:p>
    <w:p>
      <w:pPr/>
      <w:r>
        <w:rPr>
          <w:sz w:val="22"/>
        </w:rPr>
        <w:t>The risk of migration must be weighed against the risk of not migrating. Legacy platforms carry their own risks: vendor lock-in with escalating costs, shrinking talent pools, growing technical debt, inability to adopt AI/ML capabilities, and the existential risk of running on unsupported or end-of-life technology. Mastech’s approach is specifically designed to minimize migration risk through automation, validation, and phased delivery.</w:t>
      </w:r>
    </w:p>
    <w:p>
      <w:pPr>
        <w:pStyle w:val="Heading3"/>
      </w:pPr>
      <w:r>
        <w:rPr>
          <w:color w:val="0F4761"/>
          <w:sz w:val="28"/>
        </w:rPr>
        <w:t>Respond</w:t>
      </w:r>
    </w:p>
    <w:p>
      <w:pPr>
        <w:pStyle w:val="ListParagraph"/>
        <w:numPr>
          <w:ilvl w:val="0"/>
          <w:numId w:val="2"/>
        </w:numPr>
      </w:pPr>
      <w:r>
        <w:rPr>
          <w:b/>
          <w:sz w:val="22"/>
        </w:rPr>
        <w:t xml:space="preserve">Phased Approach: </w:t>
      </w:r>
      <w:r>
        <w:rPr>
          <w:sz w:val="22"/>
        </w:rPr>
        <w:t>We never execute a big-bang migration. Workloads are migrated in carefully sequenced waves, with each wave validated in production before the next begins. This limits the blast radius of any issue to a single workload group.</w:t>
      </w:r>
    </w:p>
    <w:p>
      <w:pPr>
        <w:pStyle w:val="ListParagraph"/>
        <w:numPr>
          <w:ilvl w:val="0"/>
          <w:numId w:val="2"/>
        </w:numPr>
      </w:pPr>
      <w:r>
        <w:rPr>
          <w:b/>
          <w:sz w:val="22"/>
        </w:rPr>
        <w:t xml:space="preserve">Proof of Value: </w:t>
      </w:r>
      <w:r>
        <w:rPr>
          <w:sz w:val="22"/>
        </w:rPr>
        <w:t>The engagement begins with a POV on a representative workload—demonstrating feasibility, performance, and accuracy before any production commitment.</w:t>
      </w:r>
    </w:p>
    <w:p>
      <w:pPr>
        <w:pStyle w:val="ListParagraph"/>
        <w:numPr>
          <w:ilvl w:val="0"/>
          <w:numId w:val="2"/>
        </w:numPr>
      </w:pPr>
      <w:r>
        <w:rPr>
          <w:b/>
          <w:sz w:val="22"/>
        </w:rPr>
        <w:t xml:space="preserve">SLM-Based Validation: </w:t>
      </w:r>
      <w:r>
        <w:rPr>
          <w:sz w:val="22"/>
        </w:rPr>
        <w:t>Mastech’s proprietary Small Language Models automatically validate that every business rule, transformation, and calculation produces identical results on the new platform. This eliminates the most common source of migration failures: subtle business logic discrepancies.</w:t>
      </w:r>
    </w:p>
    <w:p>
      <w:pPr>
        <w:pStyle w:val="ListParagraph"/>
        <w:numPr>
          <w:ilvl w:val="0"/>
          <w:numId w:val="2"/>
        </w:numPr>
      </w:pPr>
      <w:r>
        <w:rPr>
          <w:b/>
          <w:sz w:val="22"/>
        </w:rPr>
        <w:t xml:space="preserve">Zero Business Logic Loss: </w:t>
      </w:r>
      <w:r>
        <w:rPr>
          <w:sz w:val="22"/>
        </w:rPr>
        <w:t>Automated comparison testing between legacy and new systems runs continuously during migration, with any discrepancy flagged and resolved before cutover. 100% business logic fidelity is validated, not assumed.</w:t>
      </w:r>
    </w:p>
    <w:p>
      <w:pPr>
        <w:pStyle w:val="ListParagraph"/>
        <w:numPr>
          <w:ilvl w:val="0"/>
          <w:numId w:val="2"/>
        </w:numPr>
      </w:pPr>
      <w:r>
        <w:rPr>
          <w:b/>
          <w:sz w:val="22"/>
        </w:rPr>
        <w:t xml:space="preserve">Rollback Procedures: </w:t>
      </w:r>
      <w:r>
        <w:rPr>
          <w:sz w:val="22"/>
        </w:rPr>
        <w:t>Every migration phase includes documented, tested rollback procedures that can restore the previous state within defined recovery time objectives.</w:t>
      </w:r>
    </w:p>
    <w:p>
      <w:pPr>
        <w:pStyle w:val="Heading2"/>
      </w:pPr>
      <w:r>
        <w:rPr>
          <w:color w:val="0F4761"/>
          <w:sz w:val="32"/>
        </w:rPr>
        <w:t>4.2 “We can’t afford downtime”</w:t>
      </w:r>
    </w:p>
    <w:p>
      <w:pPr>
        <w:pStyle w:val="Heading3"/>
      </w:pPr>
      <w:r>
        <w:rPr>
          <w:color w:val="0F4761"/>
          <w:sz w:val="28"/>
        </w:rPr>
        <w:t>Reframe</w:t>
      </w:r>
    </w:p>
    <w:p>
      <w:pPr/>
      <w:r>
        <w:rPr>
          <w:sz w:val="22"/>
        </w:rPr>
        <w:t>The requirement for zero downtime is not a barrier—it’s a design requirement that Mastech’s methodology explicitly addresses. The parallel run strategy ensures that legacy systems continue operating at full capacity while new systems are built, validated, and brought online alongside them.</w:t>
      </w:r>
    </w:p>
    <w:p>
      <w:pPr>
        <w:pStyle w:val="Heading3"/>
      </w:pPr>
      <w:r>
        <w:rPr>
          <w:color w:val="0F4761"/>
          <w:sz w:val="28"/>
        </w:rPr>
        <w:t>Respond</w:t>
      </w:r>
    </w:p>
    <w:p>
      <w:pPr>
        <w:pStyle w:val="ListParagraph"/>
        <w:numPr>
          <w:ilvl w:val="0"/>
          <w:numId w:val="2"/>
        </w:numPr>
      </w:pPr>
      <w:r>
        <w:rPr>
          <w:b/>
          <w:sz w:val="22"/>
        </w:rPr>
        <w:t xml:space="preserve">Parallel Run Strategy: </w:t>
      </w:r>
      <w:r>
        <w:rPr>
          <w:sz w:val="22"/>
        </w:rPr>
        <w:t>Legacy and Databricks systems operate simultaneously during the transition period. Production workloads continue running on the existing platform while equivalent workloads are validated on Databricks.</w:t>
      </w:r>
    </w:p>
    <w:p>
      <w:pPr>
        <w:pStyle w:val="ListParagraph"/>
        <w:numPr>
          <w:ilvl w:val="0"/>
          <w:numId w:val="2"/>
        </w:numPr>
      </w:pPr>
      <w:r>
        <w:rPr>
          <w:b/>
          <w:sz w:val="22"/>
        </w:rPr>
        <w:t xml:space="preserve">Zero-Downtime Cutover: </w:t>
      </w:r>
      <w:r>
        <w:rPr>
          <w:sz w:val="22"/>
        </w:rPr>
        <w:t>The cutover from legacy to Databricks is executed as a traffic switch, not a system migration. When the new system is fully validated, production traffic is redirected with no interruption to end users or downstream systems.</w:t>
      </w:r>
    </w:p>
    <w:p>
      <w:pPr>
        <w:pStyle w:val="ListParagraph"/>
        <w:numPr>
          <w:ilvl w:val="0"/>
          <w:numId w:val="2"/>
        </w:numPr>
      </w:pPr>
      <w:r>
        <w:rPr>
          <w:b/>
          <w:sz w:val="22"/>
        </w:rPr>
        <w:t xml:space="preserve">Automated Comparison: </w:t>
      </w:r>
      <w:r>
        <w:rPr>
          <w:sz w:val="22"/>
        </w:rPr>
        <w:t>During parallel run, automated testing continuously compares outputs between legacy and new systems, ensuring functional equivalence before any cutover decision.</w:t>
      </w:r>
    </w:p>
    <w:p>
      <w:pPr>
        <w:pStyle w:val="ListParagraph"/>
        <w:numPr>
          <w:ilvl w:val="0"/>
          <w:numId w:val="2"/>
        </w:numPr>
      </w:pPr>
      <w:r>
        <w:rPr>
          <w:b/>
          <w:sz w:val="22"/>
        </w:rPr>
        <w:t xml:space="preserve">Graceful Transition: </w:t>
      </w:r>
      <w:r>
        <w:rPr>
          <w:sz w:val="22"/>
        </w:rPr>
        <w:t>Non-critical workloads migrate first, followed by critical workloads after the methodology has been validated in production. This builds confidence progressively.</w:t>
      </w:r>
    </w:p>
    <w:p>
      <w:pPr>
        <w:pStyle w:val="Heading2"/>
      </w:pPr>
      <w:r>
        <w:rPr>
          <w:color w:val="0F4761"/>
          <w:sz w:val="32"/>
        </w:rPr>
        <w:t>4.3 “Our team doesn’t have Databricks skills”</w:t>
      </w:r>
    </w:p>
    <w:p>
      <w:pPr>
        <w:pStyle w:val="Heading3"/>
      </w:pPr>
      <w:r>
        <w:rPr>
          <w:color w:val="0F4761"/>
          <w:sz w:val="28"/>
        </w:rPr>
        <w:t>Reframe</w:t>
      </w:r>
    </w:p>
    <w:p>
      <w:pPr/>
      <w:r>
        <w:rPr>
          <w:sz w:val="22"/>
        </w:rPr>
        <w:t>Skills gaps are expected and planned for. In fact, one of the key value drivers of the Mastech partnership is the structured knowledge transfer that builds your team’s Databricks capability throughout the engagement. The goal is not to create permanent dependency on external resources but to accelerate your team’s proficiency while delivering production results.</w:t>
      </w:r>
    </w:p>
    <w:p>
      <w:pPr>
        <w:pStyle w:val="Heading3"/>
      </w:pPr>
      <w:r>
        <w:rPr>
          <w:color w:val="0F4761"/>
          <w:sz w:val="28"/>
        </w:rPr>
        <w:t>Respond</w:t>
      </w:r>
    </w:p>
    <w:p>
      <w:pPr>
        <w:pStyle w:val="ListParagraph"/>
        <w:numPr>
          <w:ilvl w:val="0"/>
          <w:numId w:val="2"/>
        </w:numPr>
      </w:pPr>
      <w:r>
        <w:rPr>
          <w:b/>
          <w:sz w:val="22"/>
        </w:rPr>
        <w:t xml:space="preserve">Embedded Knowledge Transfer: </w:t>
      </w:r>
      <w:r>
        <w:rPr>
          <w:sz w:val="22"/>
        </w:rPr>
        <w:t>Mastech engineers work alongside your team from day one, with structured pairing, code reviews, and documentation that transfers skills through hands-on experience rather than classroom training alone.</w:t>
      </w:r>
    </w:p>
    <w:p>
      <w:pPr>
        <w:pStyle w:val="ListParagraph"/>
        <w:numPr>
          <w:ilvl w:val="0"/>
          <w:numId w:val="2"/>
        </w:numPr>
      </w:pPr>
      <w:r>
        <w:rPr>
          <w:b/>
          <w:sz w:val="22"/>
        </w:rPr>
        <w:t xml:space="preserve">Training Programs: </w:t>
      </w:r>
      <w:r>
        <w:rPr>
          <w:sz w:val="22"/>
        </w:rPr>
        <w:t>Formal Databricks training and certification programs are included in the engagement, ensuring your team achieves documented competency in platform administration, data engineering, and analytics.</w:t>
      </w:r>
    </w:p>
    <w:p>
      <w:pPr>
        <w:pStyle w:val="ListParagraph"/>
        <w:numPr>
          <w:ilvl w:val="0"/>
          <w:numId w:val="2"/>
        </w:numPr>
      </w:pPr>
      <w:r>
        <w:rPr>
          <w:b/>
          <w:sz w:val="22"/>
        </w:rPr>
        <w:t xml:space="preserve">Managed Services Bridge: </w:t>
      </w:r>
      <w:r>
        <w:rPr>
          <w:sz w:val="22"/>
        </w:rPr>
        <w:t>Mastech’s managed services can provide operational support during the transition period, ensuring production reliability while your team ramps up. Support levels are gradually reduced as your team’s competency increases.</w:t>
      </w:r>
    </w:p>
    <w:p>
      <w:pPr>
        <w:pStyle w:val="ListParagraph"/>
        <w:numPr>
          <w:ilvl w:val="0"/>
          <w:numId w:val="2"/>
        </w:numPr>
      </w:pPr>
      <w:r>
        <w:rPr>
          <w:b/>
          <w:sz w:val="22"/>
        </w:rPr>
        <w:t xml:space="preserve">Documentation and Runbooks: </w:t>
      </w:r>
      <w:r>
        <w:rPr>
          <w:sz w:val="22"/>
        </w:rPr>
        <w:t>Comprehensive operational documentation, runbooks, and architectural decision records are delivered as part of every engagement, giving your team a complete reference for ongoing operations.</w:t>
      </w:r>
    </w:p>
    <w:p>
      <w:pPr>
        <w:pStyle w:val="Heading1"/>
      </w:pPr>
      <w:r>
        <w:rPr>
          <w:color w:val="0F4761"/>
          <w:sz w:val="40"/>
        </w:rPr>
        <w:t>5. Technical Objections</w:t>
      </w:r>
    </w:p>
    <w:p>
      <w:pPr/>
      <w:r>
        <w:rPr>
          <w:sz w:val="22"/>
        </w:rPr>
        <w:t>Technical objections typically come from architects, engineering leads, and technical decision-makers who have deep expertise in existing tools and legitimate questions about platform capabilities. These stakeholders require specific, technically credible responses—not marketing generalizations. The key is to respect their expertise, acknowledge legitimate concerns, and provide evidence-based responses that demonstrate Databricks’ technical merits.</w:t>
      </w:r>
    </w:p>
    <w:p>
      <w:pPr>
        <w:pStyle w:val="Heading2"/>
      </w:pPr>
      <w:r>
        <w:rPr>
          <w:color w:val="0F4761"/>
          <w:sz w:val="32"/>
        </w:rPr>
        <w:t>5.1 “Snowflake/[competitor] can do the same thing”</w:t>
      </w:r>
    </w:p>
    <w:p>
      <w:pPr>
        <w:pStyle w:val="Heading3"/>
      </w:pPr>
      <w:r>
        <w:rPr>
          <w:color w:val="0F4761"/>
          <w:sz w:val="28"/>
        </w:rPr>
        <w:t>Reframe</w:t>
      </w:r>
    </w:p>
    <w:p>
      <w:pPr/>
      <w:r>
        <w:rPr>
          <w:sz w:val="22"/>
        </w:rPr>
        <w:t>Surface-level feature comparison can make platforms look similar, but architectural differences become critical at scale and when AI/ML workloads are part of the strategic vision. The relevant comparison is not feature-by-feature but architecture-by-architecture: how well does each platform serve the full spectrum of data and AI use cases on a unified foundation?</w:t>
      </w:r>
    </w:p>
    <w:p>
      <w:pPr>
        <w:pStyle w:val="Heading3"/>
      </w:pPr>
      <w:r>
        <w:rPr>
          <w:color w:val="0F4761"/>
          <w:sz w:val="28"/>
        </w:rPr>
        <w:t>Respond</w:t>
      </w:r>
    </w:p>
    <w:p>
      <w:pPr>
        <w:pStyle w:val="ListParagraph"/>
        <w:numPr>
          <w:ilvl w:val="0"/>
          <w:numId w:val="2"/>
        </w:numPr>
      </w:pPr>
      <w:r>
        <w:rPr>
          <w:b/>
          <w:sz w:val="22"/>
        </w:rPr>
        <w:t xml:space="preserve">Unified Data + AI Platform: </w:t>
      </w:r>
      <w:r>
        <w:rPr>
          <w:sz w:val="22"/>
        </w:rPr>
        <w:t>Databricks uniquely combines data engineering, SQL analytics, data science, and AI on a single platform with unified governance. Competitors require multiple products, integrations, and governance overlays to approximate this capability.</w:t>
      </w:r>
    </w:p>
    <w:p>
      <w:pPr>
        <w:pStyle w:val="ListParagraph"/>
        <w:numPr>
          <w:ilvl w:val="0"/>
          <w:numId w:val="2"/>
        </w:numPr>
      </w:pPr>
      <w:r>
        <w:rPr>
          <w:b/>
          <w:sz w:val="22"/>
        </w:rPr>
        <w:t xml:space="preserve">AI-Native Architecture: </w:t>
      </w:r>
      <w:r>
        <w:rPr>
          <w:sz w:val="22"/>
        </w:rPr>
        <w:t>Databricks was designed for both analytical and AI workloads from the ground up. Competitors have added ML capabilities incrementally, resulting in architectural compromises for AI use cases—particularly distributed training, real-time serving, and feature engineering at scale.</w:t>
      </w:r>
    </w:p>
    <w:p>
      <w:pPr>
        <w:pStyle w:val="ListParagraph"/>
        <w:numPr>
          <w:ilvl w:val="0"/>
          <w:numId w:val="2"/>
        </w:numPr>
      </w:pPr>
      <w:r>
        <w:rPr>
          <w:b/>
          <w:sz w:val="22"/>
        </w:rPr>
        <w:t xml:space="preserve">Open Standards: </w:t>
      </w:r>
      <w:r>
        <w:rPr>
          <w:sz w:val="22"/>
        </w:rPr>
        <w:t>Databricks is built on open-source foundations—Apache Spark, Delta Lake, MLflow—ensuring data portability and avoiding vendor lock-in. Your data stays in your cloud storage in open Parquet/Delta formats, not in a proprietary format controlled by the vendor.</w:t>
      </w:r>
    </w:p>
    <w:p>
      <w:pPr>
        <w:pStyle w:val="ListParagraph"/>
        <w:numPr>
          <w:ilvl w:val="0"/>
          <w:numId w:val="2"/>
        </w:numPr>
      </w:pPr>
      <w:r>
        <w:rPr>
          <w:b/>
          <w:sz w:val="22"/>
        </w:rPr>
        <w:t xml:space="preserve">Multi-Cloud Flexibility: </w:t>
      </w:r>
      <w:r>
        <w:rPr>
          <w:sz w:val="22"/>
        </w:rPr>
        <w:t>Databricks runs natively on AWS, Azure, and GCP, giving organizations true multi-cloud flexibility and negotiating leverage. Most competitors are tied to a single cloud provider or offer limited multi-cloud support.</w:t>
      </w:r>
    </w:p>
    <w:p>
      <w:pPr>
        <w:pStyle w:val="Heading2"/>
      </w:pPr>
      <w:r>
        <w:rPr>
          <w:color w:val="0F4761"/>
          <w:sz w:val="32"/>
        </w:rPr>
        <w:t>5.2 “We need on-premises”</w:t>
      </w:r>
    </w:p>
    <w:p>
      <w:pPr>
        <w:pStyle w:val="Heading3"/>
      </w:pPr>
      <w:r>
        <w:rPr>
          <w:color w:val="0F4761"/>
          <w:sz w:val="28"/>
        </w:rPr>
        <w:t>Reframe</w:t>
      </w:r>
    </w:p>
    <w:p>
      <w:pPr/>
      <w:r>
        <w:rPr>
          <w:sz w:val="22"/>
        </w:rPr>
        <w:t>On-premises requirements typically stem from data sovereignty, regulatory compliance, or latency concerns. These are legitimate constraints that deserve specific solutions, not blanket dismissal. The approach is to separate what truly must remain on-premises from what can safely move to the cloud, and to design a hybrid architecture that optimizes for both requirements.</w:t>
      </w:r>
    </w:p>
    <w:p>
      <w:pPr>
        <w:pStyle w:val="Heading3"/>
      </w:pPr>
      <w:r>
        <w:rPr>
          <w:color w:val="0F4761"/>
          <w:sz w:val="28"/>
        </w:rPr>
        <w:t>Respond</w:t>
      </w:r>
    </w:p>
    <w:p>
      <w:pPr>
        <w:pStyle w:val="ListParagraph"/>
        <w:numPr>
          <w:ilvl w:val="0"/>
          <w:numId w:val="2"/>
        </w:numPr>
      </w:pPr>
      <w:r>
        <w:rPr>
          <w:b/>
          <w:sz w:val="22"/>
        </w:rPr>
        <w:t xml:space="preserve">Hybrid Architecture: </w:t>
      </w:r>
      <w:r>
        <w:rPr>
          <w:sz w:val="22"/>
        </w:rPr>
        <w:t>Databricks supports hybrid deployment patterns where sensitive data processing occurs within your private cloud or dedicated infrastructure while analytical and AI workloads leverage cloud elasticity.</w:t>
      </w:r>
    </w:p>
    <w:p>
      <w:pPr>
        <w:pStyle w:val="ListParagraph"/>
        <w:numPr>
          <w:ilvl w:val="0"/>
          <w:numId w:val="2"/>
        </w:numPr>
      </w:pPr>
      <w:r>
        <w:rPr>
          <w:b/>
          <w:sz w:val="22"/>
        </w:rPr>
        <w:t xml:space="preserve">Data Sovereignty Options: </w:t>
      </w:r>
      <w:r>
        <w:rPr>
          <w:sz w:val="22"/>
        </w:rPr>
        <w:t>For regulated industries, Databricks offers private link connectivity, customer-managed keys, and deployment in sovereign cloud regions that meet data residency requirements.</w:t>
      </w:r>
    </w:p>
    <w:p>
      <w:pPr>
        <w:pStyle w:val="ListParagraph"/>
        <w:numPr>
          <w:ilvl w:val="0"/>
          <w:numId w:val="2"/>
        </w:numPr>
      </w:pPr>
      <w:r>
        <w:rPr>
          <w:b/>
          <w:sz w:val="22"/>
        </w:rPr>
        <w:t xml:space="preserve">Edge Processing: </w:t>
      </w:r>
      <w:r>
        <w:rPr>
          <w:sz w:val="22"/>
        </w:rPr>
        <w:t>For latency-sensitive workloads, edge processing architectures can be designed where real-time data processing occurs on-premises while batch analytics and AI/ML training leverage cloud-based Databricks.</w:t>
      </w:r>
    </w:p>
    <w:p>
      <w:pPr>
        <w:pStyle w:val="ListParagraph"/>
        <w:numPr>
          <w:ilvl w:val="0"/>
          <w:numId w:val="2"/>
        </w:numPr>
      </w:pPr>
      <w:r>
        <w:rPr>
          <w:b/>
          <w:sz w:val="22"/>
        </w:rPr>
        <w:t xml:space="preserve">Progressive Migration: </w:t>
      </w:r>
      <w:r>
        <w:rPr>
          <w:sz w:val="22"/>
        </w:rPr>
        <w:t>Organizations can start with cloud-ready workloads while maintaining on-premises systems for regulated data, progressively expanding cloud usage as compliance frameworks and comfort levels evolve.</w:t>
      </w:r>
    </w:p>
    <w:p>
      <w:pPr>
        <w:pStyle w:val="Heading2"/>
      </w:pPr>
      <w:r>
        <w:rPr>
          <w:color w:val="0F4761"/>
          <w:sz w:val="32"/>
        </w:rPr>
        <w:t>5.3 “Our workloads are too complex”</w:t>
      </w:r>
    </w:p>
    <w:p>
      <w:pPr>
        <w:pStyle w:val="Heading3"/>
      </w:pPr>
      <w:r>
        <w:rPr>
          <w:color w:val="0F4761"/>
          <w:sz w:val="28"/>
        </w:rPr>
        <w:t>Reframe</w:t>
      </w:r>
    </w:p>
    <w:p>
      <w:pPr/>
      <w:r>
        <w:rPr>
          <w:sz w:val="22"/>
        </w:rPr>
        <w:t>Complexity is precisely where Mastech’s SLM-based approach delivers its greatest advantage. Manual migration of complex workloads is where traditional approaches fail—human engineers miss edge cases, misinterpret business logic, and introduce subtle bugs that only manifest in production. Mastech’s SLMs were specifically trained on complex migration patterns and can handle the intricate transformations that make manual approaches risky.</w:t>
      </w:r>
    </w:p>
    <w:p>
      <w:pPr>
        <w:pStyle w:val="Heading3"/>
      </w:pPr>
      <w:r>
        <w:rPr>
          <w:color w:val="0F4761"/>
          <w:sz w:val="28"/>
        </w:rPr>
        <w:t>Respond</w:t>
      </w:r>
    </w:p>
    <w:p>
      <w:pPr>
        <w:pStyle w:val="ListParagraph"/>
        <w:numPr>
          <w:ilvl w:val="0"/>
          <w:numId w:val="2"/>
        </w:numPr>
      </w:pPr>
      <w:r>
        <w:rPr>
          <w:b/>
          <w:sz w:val="22"/>
        </w:rPr>
        <w:t xml:space="preserve">SLM-Based Migration: </w:t>
      </w:r>
      <w:r>
        <w:rPr>
          <w:sz w:val="22"/>
        </w:rPr>
        <w:t>Mastech’s proprietary Small Language Models are specifically trained to understand and convert complex legacy code—including stored procedures, nested transformations, dynamic SQL, and platform-specific optimizations—to Databricks-native implementations.</w:t>
      </w:r>
    </w:p>
    <w:p>
      <w:pPr>
        <w:pStyle w:val="ListParagraph"/>
        <w:numPr>
          <w:ilvl w:val="0"/>
          <w:numId w:val="2"/>
        </w:numPr>
      </w:pPr>
      <w:r>
        <w:rPr>
          <w:b/>
          <w:sz w:val="22"/>
        </w:rPr>
        <w:t xml:space="preserve">100% Business Logic Fidelity: </w:t>
      </w:r>
      <w:r>
        <w:rPr>
          <w:sz w:val="22"/>
        </w:rPr>
        <w:t>Automated validation ensures that even the most complex business rules produce identical results on the new platform. This is not sampling-based testing—it is comprehensive, automated comparison across all transformation paths.</w:t>
      </w:r>
    </w:p>
    <w:p>
      <w:pPr>
        <w:pStyle w:val="ListParagraph"/>
        <w:numPr>
          <w:ilvl w:val="0"/>
          <w:numId w:val="2"/>
        </w:numPr>
      </w:pPr>
      <w:r>
        <w:rPr>
          <w:b/>
          <w:sz w:val="22"/>
        </w:rPr>
        <w:t xml:space="preserve">Complexity Assessment: </w:t>
      </w:r>
      <w:r>
        <w:rPr>
          <w:sz w:val="22"/>
        </w:rPr>
        <w:t>The engagement begins with a detailed complexity assessment that categorizes every workload by migration difficulty, identifies potential challenges, and develops specific strategies for the most complex components.</w:t>
      </w:r>
    </w:p>
    <w:p>
      <w:pPr>
        <w:pStyle w:val="ListParagraph"/>
        <w:numPr>
          <w:ilvl w:val="0"/>
          <w:numId w:val="2"/>
        </w:numPr>
      </w:pPr>
      <w:r>
        <w:rPr>
          <w:b/>
          <w:sz w:val="22"/>
        </w:rPr>
        <w:t xml:space="preserve">Proven Track Record: </w:t>
      </w:r>
      <w:r>
        <w:rPr>
          <w:sz w:val="22"/>
        </w:rPr>
        <w:t>Mastech has successfully migrated workloads involving thousands of stored procedures, complex slowly changing dimensions, real-time streaming pipelines, and multi-system orchestration chains. Complexity is an expectation, not an exception.</w:t>
      </w:r>
    </w:p>
    <w:p>
      <w:pPr>
        <w:pStyle w:val="Heading1"/>
      </w:pPr>
      <w:r>
        <w:rPr>
          <w:color w:val="0F4761"/>
          <w:sz w:val="40"/>
        </w:rPr>
        <w:t>6. Organizational Objections</w:t>
      </w:r>
    </w:p>
    <w:p>
      <w:pPr/>
      <w:r>
        <w:rPr>
          <w:sz w:val="22"/>
        </w:rPr>
        <w:t>Organizational objections are often the most difficult to overcome because they involve people, politics, and priorities rather than technology or budget. These objections require patience, empathy, and strategic thinking. The Champion is often the best person to address organizational objections because they understand the internal dynamics and can navigate the political landscape more effectively than the external sales team.</w:t>
      </w:r>
    </w:p>
    <w:p>
      <w:pPr>
        <w:pStyle w:val="Heading2"/>
      </w:pPr>
      <w:r>
        <w:rPr>
          <w:color w:val="0F4761"/>
          <w:sz w:val="32"/>
        </w:rPr>
        <w:t>6.1 “We don’t have executive sponsorship”</w:t>
      </w:r>
    </w:p>
    <w:p>
      <w:pPr>
        <w:pStyle w:val="Heading3"/>
      </w:pPr>
      <w:r>
        <w:rPr>
          <w:color w:val="0F4761"/>
          <w:sz w:val="28"/>
        </w:rPr>
        <w:t>Reframe</w:t>
      </w:r>
    </w:p>
    <w:p>
      <w:pPr/>
      <w:r>
        <w:rPr>
          <w:sz w:val="22"/>
        </w:rPr>
        <w:t>Lack of executive sponsorship is a solvable problem, not a permanent barrier. The question is how to build the business case and generate the evidence needed to earn executive attention and commitment. This is exactly what the Champion enablement process is designed to accomplish.</w:t>
      </w:r>
    </w:p>
    <w:p>
      <w:pPr>
        <w:pStyle w:val="Heading3"/>
      </w:pPr>
      <w:r>
        <w:rPr>
          <w:color w:val="0F4761"/>
          <w:sz w:val="28"/>
        </w:rPr>
        <w:t>Respond</w:t>
      </w:r>
    </w:p>
    <w:p>
      <w:pPr>
        <w:pStyle w:val="ListParagraph"/>
        <w:numPr>
          <w:ilvl w:val="0"/>
          <w:numId w:val="2"/>
        </w:numPr>
      </w:pPr>
      <w:r>
        <w:rPr>
          <w:b/>
          <w:sz w:val="22"/>
        </w:rPr>
        <w:t xml:space="preserve">Bottom-Up Business Case: </w:t>
      </w:r>
      <w:r>
        <w:rPr>
          <w:sz w:val="22"/>
        </w:rPr>
        <w:t>Use the ROI framework and TCO analysis in this kit to build a compelling financial case that speaks directly to executive priorities—cost reduction, competitive advantage, and risk mitigation.</w:t>
      </w:r>
    </w:p>
    <w:p>
      <w:pPr>
        <w:pStyle w:val="ListParagraph"/>
        <w:numPr>
          <w:ilvl w:val="0"/>
          <w:numId w:val="2"/>
        </w:numPr>
      </w:pPr>
      <w:r>
        <w:rPr>
          <w:b/>
          <w:sz w:val="22"/>
        </w:rPr>
        <w:t xml:space="preserve">POV as Proof: </w:t>
      </w:r>
      <w:r>
        <w:rPr>
          <w:sz w:val="22"/>
        </w:rPr>
        <w:t>The Proof of Value engagement provides concrete, measurable results that transform the conversation from theoretical benefits to demonstrated value. Executives respond to evidence, not projections.</w:t>
      </w:r>
    </w:p>
    <w:p>
      <w:pPr>
        <w:pStyle w:val="ListParagraph"/>
        <w:numPr>
          <w:ilvl w:val="0"/>
          <w:numId w:val="2"/>
        </w:numPr>
      </w:pPr>
      <w:r>
        <w:rPr>
          <w:b/>
          <w:sz w:val="22"/>
        </w:rPr>
        <w:t xml:space="preserve">Peer References: </w:t>
      </w:r>
      <w:r>
        <w:rPr>
          <w:sz w:val="22"/>
        </w:rPr>
        <w:t>Mastech can facilitate conversations with peer executives at reference accounts who have successfully championed similar transformations, providing social proof and practical advice.</w:t>
      </w:r>
    </w:p>
    <w:p>
      <w:pPr>
        <w:pStyle w:val="ListParagraph"/>
        <w:numPr>
          <w:ilvl w:val="0"/>
          <w:numId w:val="2"/>
        </w:numPr>
      </w:pPr>
      <w:r>
        <w:rPr>
          <w:b/>
          <w:sz w:val="22"/>
        </w:rPr>
        <w:t xml:space="preserve">Champion Coaching: </w:t>
      </w:r>
      <w:r>
        <w:rPr>
          <w:sz w:val="22"/>
        </w:rPr>
        <w:t>The Mastech team can help coach the Champion on how to position the initiative, which executive to approach first, and how to align the proposal with existing strategic priorities that already have executive attention.</w:t>
      </w:r>
    </w:p>
    <w:p>
      <w:pPr>
        <w:pStyle w:val="Heading2"/>
      </w:pPr>
      <w:r>
        <w:rPr>
          <w:color w:val="0F4761"/>
          <w:sz w:val="32"/>
        </w:rPr>
        <w:t>6.2 “We’re in the middle of other initiatives”</w:t>
      </w:r>
    </w:p>
    <w:p>
      <w:pPr>
        <w:pStyle w:val="Heading3"/>
      </w:pPr>
      <w:r>
        <w:rPr>
          <w:color w:val="0F4761"/>
          <w:sz w:val="28"/>
        </w:rPr>
        <w:t>Reframe</w:t>
      </w:r>
    </w:p>
    <w:p>
      <w:pPr/>
      <w:r>
        <w:rPr>
          <w:sz w:val="22"/>
        </w:rPr>
        <w:t>Competing initiatives are not a conflict—they are an opportunity. In most cases, a Databricks data platform modernization accelerates and enhances other strategic initiatives rather than competing with them. The question is how the data platform investment amplifies the value of existing initiatives.</w:t>
      </w:r>
    </w:p>
    <w:p>
      <w:pPr>
        <w:pStyle w:val="Heading3"/>
      </w:pPr>
      <w:r>
        <w:rPr>
          <w:color w:val="0F4761"/>
          <w:sz w:val="28"/>
        </w:rPr>
        <w:t>Respond</w:t>
      </w:r>
    </w:p>
    <w:p>
      <w:pPr>
        <w:pStyle w:val="ListParagraph"/>
        <w:numPr>
          <w:ilvl w:val="0"/>
          <w:numId w:val="2"/>
        </w:numPr>
      </w:pPr>
      <w:r>
        <w:rPr>
          <w:b/>
          <w:sz w:val="22"/>
        </w:rPr>
        <w:t xml:space="preserve">Acceleration Effect: </w:t>
      </w:r>
      <w:r>
        <w:rPr>
          <w:sz w:val="22"/>
        </w:rPr>
        <w:t>If you’re implementing a new CRM, ERP, or business application, a modern data platform dramatically improves the analytics, reporting, and AI capabilities built on top of those systems.</w:t>
      </w:r>
    </w:p>
    <w:p>
      <w:pPr>
        <w:pStyle w:val="ListParagraph"/>
        <w:numPr>
          <w:ilvl w:val="0"/>
          <w:numId w:val="2"/>
        </w:numPr>
      </w:pPr>
      <w:r>
        <w:rPr>
          <w:b/>
          <w:sz w:val="22"/>
        </w:rPr>
        <w:t xml:space="preserve">AI Foundation: </w:t>
      </w:r>
      <w:r>
        <w:rPr>
          <w:sz w:val="22"/>
        </w:rPr>
        <w:t>If you have AI or digital transformation initiatives in flight, they all depend on a modern, governed, AI-ready data platform. Databricks is the foundation that makes these initiatives successful.</w:t>
      </w:r>
    </w:p>
    <w:p>
      <w:pPr>
        <w:pStyle w:val="ListParagraph"/>
        <w:numPr>
          <w:ilvl w:val="0"/>
          <w:numId w:val="2"/>
        </w:numPr>
      </w:pPr>
      <w:r>
        <w:rPr>
          <w:b/>
          <w:sz w:val="22"/>
        </w:rPr>
        <w:t xml:space="preserve">Phased Start: </w:t>
      </w:r>
      <w:r>
        <w:rPr>
          <w:sz w:val="22"/>
        </w:rPr>
        <w:t>The Databricks initiative doesn’t have to compete for resources with existing projects. It can start with a focused POV using a small team while other initiatives proceed independently, with broader deployment timed to align with organizational capacity.</w:t>
      </w:r>
    </w:p>
    <w:p>
      <w:pPr>
        <w:pStyle w:val="ListParagraph"/>
        <w:numPr>
          <w:ilvl w:val="0"/>
          <w:numId w:val="2"/>
        </w:numPr>
      </w:pPr>
      <w:r>
        <w:rPr>
          <w:b/>
          <w:sz w:val="22"/>
        </w:rPr>
        <w:t xml:space="preserve">Resource Efficiency: </w:t>
      </w:r>
      <w:r>
        <w:rPr>
          <w:sz w:val="22"/>
        </w:rPr>
        <w:t>Modernizing the data platform actually frees up engineering resources that are currently consumed by legacy maintenance, making more capacity available for other strategic initiatives.</w:t>
      </w:r>
    </w:p>
    <w:p>
      <w:pPr>
        <w:pStyle w:val="Heading2"/>
      </w:pPr>
      <w:r>
        <w:rPr>
          <w:color w:val="0F4761"/>
          <w:sz w:val="32"/>
        </w:rPr>
        <w:t>6.3 “We want to do it ourselves”</w:t>
      </w:r>
    </w:p>
    <w:p>
      <w:pPr>
        <w:pStyle w:val="Heading3"/>
      </w:pPr>
      <w:r>
        <w:rPr>
          <w:color w:val="0F4761"/>
          <w:sz w:val="28"/>
        </w:rPr>
        <w:t>Reframe</w:t>
      </w:r>
    </w:p>
    <w:p>
      <w:pPr/>
      <w:r>
        <w:rPr>
          <w:sz w:val="22"/>
        </w:rPr>
        <w:t>The desire to build internal capability is admirable and aligned with Mastech’s approach. The question is not whether to build internal capability—it’s whether to build it through trial and error over 18–24 months, or through an accelerated partnership that delivers production results while transferring skills to your team simultaneously.</w:t>
      </w:r>
    </w:p>
    <w:p>
      <w:pPr>
        <w:pStyle w:val="Heading3"/>
      </w:pPr>
      <w:r>
        <w:rPr>
          <w:color w:val="0F4761"/>
          <w:sz w:val="28"/>
        </w:rPr>
        <w:t>Respond</w:t>
      </w:r>
    </w:p>
    <w:p>
      <w:pPr>
        <w:pStyle w:val="ListParagraph"/>
        <w:numPr>
          <w:ilvl w:val="0"/>
          <w:numId w:val="2"/>
        </w:numPr>
      </w:pPr>
      <w:r>
        <w:rPr>
          <w:b/>
          <w:sz w:val="22"/>
        </w:rPr>
        <w:t xml:space="preserve">Time to Value: </w:t>
      </w:r>
      <w:r>
        <w:rPr>
          <w:sz w:val="22"/>
        </w:rPr>
        <w:t>An in-house approach typically takes 18–24 months to produce meaningful results, factoring in hiring, onboarding, learning curves, and initial failures. Mastech’s approach delivers production outcomes in 3–6 months while building your team’s capability in parallel.</w:t>
      </w:r>
    </w:p>
    <w:p>
      <w:pPr>
        <w:pStyle w:val="ListParagraph"/>
        <w:numPr>
          <w:ilvl w:val="0"/>
          <w:numId w:val="2"/>
        </w:numPr>
      </w:pPr>
      <w:r>
        <w:rPr>
          <w:b/>
          <w:sz w:val="22"/>
        </w:rPr>
        <w:t xml:space="preserve">Opportunity Cost: </w:t>
      </w:r>
      <w:r>
        <w:rPr>
          <w:sz w:val="22"/>
        </w:rPr>
        <w:t>Every month of delay represents lost value—escalating legacy costs, missed AI opportunities, and competitive ground ceded to organizations that are already modernizing.</w:t>
      </w:r>
    </w:p>
    <w:p>
      <w:pPr>
        <w:pStyle w:val="ListParagraph"/>
        <w:numPr>
          <w:ilvl w:val="0"/>
          <w:numId w:val="2"/>
        </w:numPr>
      </w:pPr>
      <w:r>
        <w:rPr>
          <w:b/>
          <w:sz w:val="22"/>
        </w:rPr>
        <w:t xml:space="preserve">SLM Advantage: </w:t>
      </w:r>
      <w:r>
        <w:rPr>
          <w:sz w:val="22"/>
        </w:rPr>
        <w:t>Mastech’s proprietary SLMs represent millions of dollars of R&amp;D investment that an in-house team cannot replicate. These tools dramatically accelerate migration while ensuring quality that manual approaches cannot match.</w:t>
      </w:r>
    </w:p>
    <w:p>
      <w:pPr>
        <w:pStyle w:val="ListParagraph"/>
        <w:numPr>
          <w:ilvl w:val="0"/>
          <w:numId w:val="2"/>
        </w:numPr>
      </w:pPr>
      <w:r>
        <w:rPr>
          <w:b/>
          <w:sz w:val="22"/>
        </w:rPr>
        <w:t xml:space="preserve">Augmentation Model: </w:t>
      </w:r>
      <w:r>
        <w:rPr>
          <w:sz w:val="22"/>
        </w:rPr>
        <w:t>Mastech’s engagement model is designed as augmentation, not replacement. Your team works alongside Mastech engineers, gaining hands-on Databricks expertise through the engagement. By the end, your team has the skills to manage and extend the platform independently.</w:t>
      </w:r>
    </w:p>
    <w:p>
      <w:pPr>
        <w:pStyle w:val="Heading1"/>
      </w:pPr>
      <w:r>
        <w:rPr>
          <w:color w:val="0F4761"/>
          <w:sz w:val="40"/>
        </w:rPr>
        <w:t>7. Competitive Objections</w:t>
      </w:r>
    </w:p>
    <w:p>
      <w:pPr/>
      <w:r>
        <w:rPr>
          <w:sz w:val="22"/>
        </w:rPr>
        <w:t>Competitive objections arise when stakeholders compare Databricks to alternative platforms or Mastech Digital to alternative system integrators. These objections require balanced, factual responses that acknowledge competitor strengths while clearly articulating Databricks’ and Mastech’s differentiated value. Avoid disparaging competitors—instead, focus on how Mastech and Databricks uniquely address the organization’s specific strategic needs.</w:t>
      </w:r>
    </w:p>
    <w:p>
      <w:pPr>
        <w:pStyle w:val="Heading2"/>
      </w:pPr>
      <w:r>
        <w:rPr>
          <w:color w:val="0F4761"/>
          <w:sz w:val="32"/>
        </w:rPr>
        <w:t>7.1 “Why not Snowflake?”</w:t>
      </w:r>
    </w:p>
    <w:p>
      <w:pPr>
        <w:pStyle w:val="Heading3"/>
      </w:pPr>
      <w:r>
        <w:rPr>
          <w:color w:val="0F4761"/>
          <w:sz w:val="28"/>
        </w:rPr>
        <w:t>Reframe</w:t>
      </w:r>
    </w:p>
    <w:p>
      <w:pPr/>
      <w:r>
        <w:rPr>
          <w:sz w:val="22"/>
        </w:rPr>
        <w:t>Snowflake is an excellent cloud data warehouse with strong SQL analytics capabilities. The comparison becomes relevant when you consider the full spectrum of your data and AI needs—not just today, but over the next 5–10 years. If your strategic vision includes AI/ML at scale, streaming data, and unified governance across data and AI workloads, the architectural differences between the platforms become significant.</w:t>
      </w:r>
    </w:p>
    <w:p>
      <w:pPr>
        <w:pStyle w:val="Heading3"/>
      </w:pPr>
      <w:r>
        <w:rPr>
          <w:color w:val="0F4761"/>
          <w:sz w:val="28"/>
        </w:rPr>
        <w:t>Respond</w:t>
      </w:r>
    </w:p>
    <w:p>
      <w:pPr>
        <w:pStyle w:val="ListParagraph"/>
        <w:numPr>
          <w:ilvl w:val="0"/>
          <w:numId w:val="2"/>
        </w:numPr>
      </w:pPr>
      <w:r>
        <w:rPr>
          <w:b/>
          <w:sz w:val="22"/>
        </w:rPr>
        <w:t xml:space="preserve">Unified Data + AI vs. Data-Only: </w:t>
      </w:r>
      <w:r>
        <w:rPr>
          <w:sz w:val="22"/>
        </w:rPr>
        <w:t>Databricks provides a single platform for data engineering, SQL analytics, data science, and AI/ML. Snowflake excels at SQL analytics but requires separate tools (and separate governance) for ML/AI workloads, creating integration complexity and governance gaps.</w:t>
      </w:r>
    </w:p>
    <w:p>
      <w:pPr>
        <w:pStyle w:val="ListParagraph"/>
        <w:numPr>
          <w:ilvl w:val="0"/>
          <w:numId w:val="2"/>
        </w:numPr>
      </w:pPr>
      <w:r>
        <w:rPr>
          <w:b/>
          <w:sz w:val="22"/>
        </w:rPr>
        <w:t xml:space="preserve">Open Standards vs. Proprietary: </w:t>
      </w:r>
      <w:r>
        <w:rPr>
          <w:sz w:val="22"/>
        </w:rPr>
        <w:t>Databricks stores data in open formats (Delta/Parquet) in your own cloud storage. You own your data completely and can access it with any compatible tool. Snowflake’s proprietary storage format creates vendor lock-in that limits flexibility and increases switching costs.</w:t>
      </w:r>
    </w:p>
    <w:p>
      <w:pPr>
        <w:pStyle w:val="ListParagraph"/>
        <w:numPr>
          <w:ilvl w:val="0"/>
          <w:numId w:val="2"/>
        </w:numPr>
      </w:pPr>
      <w:r>
        <w:rPr>
          <w:b/>
          <w:sz w:val="22"/>
        </w:rPr>
        <w:t xml:space="preserve">AI-Native Architecture: </w:t>
      </w:r>
      <w:r>
        <w:rPr>
          <w:sz w:val="22"/>
        </w:rPr>
        <w:t>Databricks supports distributed model training, feature engineering, real-time model serving, and vector search natively. These capabilities are architecturally integrated, not bolted on. For organizations pursuing AI at scale, this architectural advantage is significant.</w:t>
      </w:r>
    </w:p>
    <w:p>
      <w:pPr>
        <w:pStyle w:val="ListParagraph"/>
        <w:numPr>
          <w:ilvl w:val="0"/>
          <w:numId w:val="2"/>
        </w:numPr>
      </w:pPr>
      <w:r>
        <w:rPr>
          <w:b/>
          <w:sz w:val="22"/>
        </w:rPr>
        <w:t xml:space="preserve">Cost Model: </w:t>
      </w:r>
      <w:r>
        <w:rPr>
          <w:sz w:val="22"/>
        </w:rPr>
        <w:t>Databricks’ separation of compute and storage, combined with multi-cloud flexibility, gives organizations more cost optimization levers. The ability to choose cloud providers, instance types, and spot/preemptible resources provides cost flexibility that Snowflake’s consumption model does not offer.</w:t>
      </w:r>
    </w:p>
    <w:p>
      <w:pPr>
        <w:pStyle w:val="Heading2"/>
      </w:pPr>
      <w:r>
        <w:rPr>
          <w:color w:val="0F4761"/>
          <w:sz w:val="32"/>
        </w:rPr>
        <w:t>7.2 “Why not Azure Synapse?”</w:t>
      </w:r>
    </w:p>
    <w:p>
      <w:pPr>
        <w:pStyle w:val="Heading3"/>
      </w:pPr>
      <w:r>
        <w:rPr>
          <w:color w:val="0F4761"/>
          <w:sz w:val="28"/>
        </w:rPr>
        <w:t>Reframe</w:t>
      </w:r>
    </w:p>
    <w:p>
      <w:pPr/>
      <w:r>
        <w:rPr>
          <w:sz w:val="22"/>
        </w:rPr>
        <w:t>Azure Synapse and Databricks are complementary, not competitive. Many Azure-first organizations deploy both: Synapse for T-SQL-based analytics and data warehousing, and Databricks for advanced data engineering, ML/AI, and streaming workloads. The question is whether Synapse alone addresses your full data and AI strategy.</w:t>
      </w:r>
    </w:p>
    <w:p>
      <w:pPr>
        <w:pStyle w:val="Heading3"/>
      </w:pPr>
      <w:r>
        <w:rPr>
          <w:color w:val="0F4761"/>
          <w:sz w:val="28"/>
        </w:rPr>
        <w:t>Respond</w:t>
      </w:r>
    </w:p>
    <w:p>
      <w:pPr>
        <w:pStyle w:val="ListParagraph"/>
        <w:numPr>
          <w:ilvl w:val="0"/>
          <w:numId w:val="2"/>
        </w:numPr>
      </w:pPr>
      <w:r>
        <w:rPr>
          <w:b/>
          <w:sz w:val="22"/>
        </w:rPr>
        <w:t xml:space="preserve">Complementary Positioning: </w:t>
      </w:r>
      <w:r>
        <w:rPr>
          <w:sz w:val="22"/>
        </w:rPr>
        <w:t>Databricks on Azure is a first-party Azure service with deep integration into the Azure ecosystem. Organizations can leverage both Synapse and Databricks for their respective strengths, with Databricks handling the advanced data engineering and AI/ML workloads where it excels.</w:t>
      </w:r>
    </w:p>
    <w:p>
      <w:pPr>
        <w:pStyle w:val="ListParagraph"/>
        <w:numPr>
          <w:ilvl w:val="0"/>
          <w:numId w:val="2"/>
        </w:numPr>
      </w:pPr>
      <w:r>
        <w:rPr>
          <w:b/>
          <w:sz w:val="22"/>
        </w:rPr>
        <w:t xml:space="preserve">Superior ML/AI Capabilities: </w:t>
      </w:r>
      <w:r>
        <w:rPr>
          <w:sz w:val="22"/>
        </w:rPr>
        <w:t>Databricks provides significantly more advanced ML/AI capabilities than Synapse—including MLflow for ML lifecycle management, distributed training support, feature store, model serving, and vector search for generative AI applications.</w:t>
      </w:r>
    </w:p>
    <w:p>
      <w:pPr>
        <w:pStyle w:val="ListParagraph"/>
        <w:numPr>
          <w:ilvl w:val="0"/>
          <w:numId w:val="2"/>
        </w:numPr>
      </w:pPr>
      <w:r>
        <w:rPr>
          <w:b/>
          <w:sz w:val="22"/>
        </w:rPr>
        <w:t xml:space="preserve">Spark Leadership: </w:t>
      </w:r>
      <w:r>
        <w:rPr>
          <w:sz w:val="22"/>
        </w:rPr>
        <w:t>Databricks is the commercial steward of Apache Spark, ensuring the most optimized and feature-rich Spark implementation available. Synapse’s Spark pools offer a subset of Spark capabilities with less optimization and slower feature adoption.</w:t>
      </w:r>
    </w:p>
    <w:p>
      <w:pPr>
        <w:pStyle w:val="ListParagraph"/>
        <w:numPr>
          <w:ilvl w:val="0"/>
          <w:numId w:val="2"/>
        </w:numPr>
      </w:pPr>
      <w:r>
        <w:rPr>
          <w:b/>
          <w:sz w:val="22"/>
        </w:rPr>
        <w:t xml:space="preserve">Multi-Cloud Strategy: </w:t>
      </w:r>
      <w:r>
        <w:rPr>
          <w:sz w:val="22"/>
        </w:rPr>
        <w:t>If multi-cloud is a current or future consideration, Databricks provides a consistent experience across AWS, Azure, and GCP, while Synapse is Azure-only. This preserves strategic flexibility and negotiating leverage.</w:t>
      </w:r>
    </w:p>
    <w:p>
      <w:pPr>
        <w:pStyle w:val="Heading2"/>
      </w:pPr>
      <w:r>
        <w:rPr>
          <w:color w:val="0F4761"/>
          <w:sz w:val="32"/>
        </w:rPr>
        <w:t>7.3 “Why Mastech specifically?”</w:t>
      </w:r>
    </w:p>
    <w:p>
      <w:pPr>
        <w:pStyle w:val="Heading3"/>
      </w:pPr>
      <w:r>
        <w:rPr>
          <w:color w:val="0F4761"/>
          <w:sz w:val="28"/>
        </w:rPr>
        <w:t>Reframe</w:t>
      </w:r>
    </w:p>
    <w:p>
      <w:pPr/>
      <w:r>
        <w:rPr>
          <w:sz w:val="22"/>
        </w:rPr>
        <w:t>The choice of implementation partner is as important as the choice of technology platform. The right partner doesn’t just implement—they accelerate, de-risk, and add proprietary value that a generic SI cannot. The question is what Mastech brings to the table that other partners cannot replicate.</w:t>
      </w:r>
    </w:p>
    <w:p>
      <w:pPr>
        <w:pStyle w:val="Heading3"/>
      </w:pPr>
      <w:r>
        <w:rPr>
          <w:color w:val="0F4761"/>
          <w:sz w:val="28"/>
        </w:rPr>
        <w:t>Respond</w:t>
      </w:r>
    </w:p>
    <w:p>
      <w:pPr>
        <w:pStyle w:val="ListParagraph"/>
        <w:numPr>
          <w:ilvl w:val="0"/>
          <w:numId w:val="2"/>
        </w:numPr>
      </w:pPr>
      <w:r>
        <w:rPr>
          <w:b/>
          <w:sz w:val="22"/>
        </w:rPr>
        <w:t xml:space="preserve">Proprietary SLMs: </w:t>
      </w:r>
      <w:r>
        <w:rPr>
          <w:sz w:val="22"/>
        </w:rPr>
        <w:t>Mastech has invested millions in developing Small Language Models specifically trained for data platform migration and automation. These are not off-the-shelf tools—they are proprietary assets that deliver 50–70% faster migrations with 100% business logic fidelity. No other SI has equivalent technology.</w:t>
      </w:r>
    </w:p>
    <w:p>
      <w:pPr>
        <w:pStyle w:val="ListParagraph"/>
        <w:numPr>
          <w:ilvl w:val="0"/>
          <w:numId w:val="2"/>
        </w:numPr>
      </w:pPr>
      <w:r>
        <w:rPr>
          <w:b/>
          <w:sz w:val="22"/>
        </w:rPr>
        <w:t xml:space="preserve">Autonomous Agent Framework: </w:t>
      </w:r>
      <w:r>
        <w:rPr>
          <w:sz w:val="22"/>
        </w:rPr>
        <w:t>Mastech’s AI agent framework for autonomous data engineering, analytics, and platform operations represents a fundamentally different approach to ongoing data platform management. These agents deliver continuous value long after the initial engagement, providing ROI that compounds over time.</w:t>
      </w:r>
    </w:p>
    <w:p>
      <w:pPr>
        <w:pStyle w:val="ListParagraph"/>
        <w:numPr>
          <w:ilvl w:val="0"/>
          <w:numId w:val="2"/>
        </w:numPr>
      </w:pPr>
      <w:r>
        <w:rPr>
          <w:b/>
          <w:sz w:val="22"/>
        </w:rPr>
        <w:t xml:space="preserve">Databricks Specialization: </w:t>
      </w:r>
      <w:r>
        <w:rPr>
          <w:sz w:val="22"/>
        </w:rPr>
        <w:t>Unlike generalist SIs who spread expertise across dozens of platforms, Mastech’s dedicated Databricks practice ensures deep, current expertise in every aspect of the platform. This specialization translates to faster delivery, fewer issues, and better architectural decisions.</w:t>
      </w:r>
    </w:p>
    <w:p>
      <w:pPr>
        <w:pStyle w:val="ListParagraph"/>
        <w:numPr>
          <w:ilvl w:val="0"/>
          <w:numId w:val="2"/>
        </w:numPr>
      </w:pPr>
      <w:r>
        <w:rPr>
          <w:b/>
          <w:sz w:val="22"/>
        </w:rPr>
        <w:t xml:space="preserve">Proven Methodology: </w:t>
      </w:r>
      <w:r>
        <w:rPr>
          <w:sz w:val="22"/>
        </w:rPr>
        <w:t>Mastech’s methodology is the product of extensive engagement experience, codifying best practices for assessment, migration, automation, and optimization into a repeatable, predictable delivery framework that consistently delivers on time and on budget.</w:t>
      </w:r>
    </w:p>
    <w:p>
      <w:pPr>
        <w:pStyle w:val="ListParagraph"/>
        <w:numPr>
          <w:ilvl w:val="0"/>
          <w:numId w:val="2"/>
        </w:numPr>
      </w:pPr>
      <w:r>
        <w:rPr>
          <w:b/>
          <w:sz w:val="22"/>
        </w:rPr>
        <w:t xml:space="preserve">Technology-Led Economics: </w:t>
      </w:r>
      <w:r>
        <w:rPr>
          <w:sz w:val="22"/>
        </w:rPr>
        <w:t>Because Mastech’s approach is technology-led rather than headcount-led, the engagement economics are fundamentally different from traditional SIs. You get faster results at lower cost with less risk—not because Mastech’s rates are lower, but because their technology reduces the labor required.</w:t>
      </w:r>
    </w:p>
    <w:p>
      <w:pPr>
        <w:pStyle w:val="Heading1"/>
      </w:pPr>
      <w:r>
        <w:rPr>
          <w:color w:val="0F4761"/>
          <w:sz w:val="40"/>
        </w:rPr>
        <w:t>8. Conclusion</w:t>
      </w:r>
    </w:p>
    <w:p>
      <w:pPr/>
      <w:r>
        <w:rPr>
          <w:sz w:val="22"/>
        </w:rPr>
        <w:t>Objections are an inevitable and healthy part of the enterprise sales process. The organizations that ultimately become Mastech Digital’s most successful clients are precisely those that asked the toughest questions during evaluation. Every objection addressed is a barrier removed, a stakeholder converted, and a foundation strengthened for the partnership ahead.</w:t>
      </w:r>
    </w:p>
    <w:p>
      <w:pPr/>
      <w:r>
        <w:rPr>
          <w:sz w:val="22"/>
        </w:rPr>
        <w:t>This playbook should be treated as a living document. As new objections emerge from field experience, they should be documented, analyzed, and added to the playbook with structured LARRV responses. The most effective sales teams and Champions review and rehearse objection responses regularly, ensuring they can deliver credible, confident answers in real-time conversations where there is no opportunity to consult a reference document.</w:t>
      </w:r>
    </w:p>
    <w:p>
      <w:pPr/>
      <w:r>
        <w:rPr>
          <w:sz w:val="22"/>
        </w:rPr>
        <w:t>The Champion should be provided with a customized version of this playbook that focuses on the objections most likely to arise in their specific organizational context. Sales teams should identify the top 5–7 objections the Champion will face, rehearse the responses together, and ensure the Champion has the supporting evidence (ROI analysis, reference accounts, technical documentation) needed to deliver credible responses in any forum.</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