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Segoe UI Light" w:cs="Segoe UI Light" w:eastAsia="Segoe UI Light" w:hAnsi="Segoe UI Light"/>
          <w:color w:val="0D47A1"/>
          <w:sz w:val="36"/>
          <w:szCs w:val="36"/>
        </w:rPr>
        <w:t xml:space="preserve">LLM Code Conversion Methodology</w:t>
      </w:r>
    </w:p>
    <w:p>
      <w:pPr>
        <w:spacing w:after="200"/>
        <w:jc w:val="center"/>
      </w:pPr>
      <w:r>
        <w:rPr>
          <w:rFonts w:ascii="Segoe UI" w:cs="Segoe UI" w:eastAsia="Segoe UI" w:hAnsi="Segoe UI"/>
          <w:color w:val="757575"/>
          <w:sz w:val="18"/>
          <w:szCs w:val="18"/>
        </w:rPr>
        <w:t xml:space="preserve">10 Assets Defining AI-Powered Legacy Code Modernization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47A1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FFFFFF"/>
                <w:sz w:val="15"/>
                <w:szCs w:val="15"/>
              </w:rPr>
              <w:t xml:space="preserve">Architecture</w:t>
            </w:r>
          </w:p>
          <w:p>
            <w:pPr>
              <w:jc w:val="center"/>
            </w:pPr>
            <w:r>
              <w:rPr>
                <w:rFonts w:ascii="Segoe UI" w:cs="Segoe UI" w:eastAsia="Segoe UI" w:hAnsi="Segoe UI"/>
                <w:color w:val="FFFFFF"/>
                <w:sz w:val="13"/>
                <w:szCs w:val="13"/>
              </w:rPr>
              <w:t xml:space="preserve">1 Assets</w:t>
            </w:r>
          </w:p>
        </w:tc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65C0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FFFFFF"/>
                <w:sz w:val="15"/>
                <w:szCs w:val="15"/>
              </w:rPr>
              <w:t xml:space="preserve">Prompt Eng</w:t>
            </w:r>
          </w:p>
          <w:p>
            <w:pPr>
              <w:jc w:val="center"/>
            </w:pPr>
            <w:r>
              <w:rPr>
                <w:rFonts w:ascii="Segoe UI" w:cs="Segoe UI" w:eastAsia="Segoe UI" w:hAnsi="Segoe UI"/>
                <w:color w:val="FFFFFF"/>
                <w:sz w:val="13"/>
                <w:szCs w:val="13"/>
              </w:rPr>
              <w:t xml:space="preserve">3 Assets</w:t>
            </w:r>
          </w:p>
        </w:tc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D32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FFFFFF"/>
                <w:sz w:val="15"/>
                <w:szCs w:val="15"/>
              </w:rPr>
              <w:t xml:space="preserve">Quality</w:t>
            </w:r>
          </w:p>
          <w:p>
            <w:pPr>
              <w:jc w:val="center"/>
            </w:pPr>
            <w:r>
              <w:rPr>
                <w:rFonts w:ascii="Segoe UI" w:cs="Segoe UI" w:eastAsia="Segoe UI" w:hAnsi="Segoe UI"/>
                <w:color w:val="FFFFFF"/>
                <w:sz w:val="13"/>
                <w:szCs w:val="13"/>
              </w:rPr>
              <w:t xml:space="preserve">2 Assets</w:t>
            </w:r>
          </w:p>
        </w:tc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A1B9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FFFFFF"/>
                <w:sz w:val="15"/>
                <w:szCs w:val="15"/>
              </w:rPr>
              <w:t xml:space="preserve">Process</w:t>
            </w:r>
          </w:p>
          <w:p>
            <w:pPr>
              <w:jc w:val="center"/>
            </w:pPr>
            <w:r>
              <w:rPr>
                <w:rFonts w:ascii="Segoe UI" w:cs="Segoe UI" w:eastAsia="Segoe UI" w:hAnsi="Segoe UI"/>
                <w:color w:val="FFFFFF"/>
                <w:sz w:val="13"/>
                <w:szCs w:val="13"/>
              </w:rPr>
              <w:t xml:space="preserve">2 Assets</w:t>
            </w:r>
          </w:p>
        </w:tc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838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FFFFFF"/>
                <w:sz w:val="15"/>
                <w:szCs w:val="15"/>
              </w:rPr>
              <w:t xml:space="preserve">Operations</w:t>
            </w:r>
          </w:p>
          <w:p>
            <w:pPr>
              <w:jc w:val="center"/>
            </w:pPr>
            <w:r>
              <w:rPr>
                <w:rFonts w:ascii="Segoe UI" w:cs="Segoe UI" w:eastAsia="Segoe UI" w:hAnsi="Segoe UI"/>
                <w:color w:val="FFFFFF"/>
                <w:sz w:val="13"/>
                <w:szCs w:val="13"/>
              </w:rPr>
              <w:t xml:space="preserve">2 Assets</w:t>
            </w:r>
          </w:p>
        </w:tc>
      </w:tr>
      <w:tr>
        <w:tc>
          <w:tcPr>
            <w:tcW w:type="dxa" w:w="1872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Segoe UI" w:cs="Segoe UI" w:eastAsia="Segoe UI" w:hAnsi="Segoe UI"/>
                <w:color w:val="212121"/>
                <w:sz w:val="13"/>
                <w:szCs w:val="13"/>
              </w:rPr>
              <w:t xml:space="preserve">• End-to-End System Architecture</w:t>
            </w:r>
          </w:p>
        </w:tc>
        <w:tc>
          <w:tcPr>
            <w:tcW w:type="dxa" w:w="1872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40"/>
            </w:pPr>
            <w:r>
              <w:rPr>
                <w:rFonts w:ascii="Segoe UI" w:cs="Segoe UI" w:eastAsia="Segoe UI" w:hAnsi="Segoe UI"/>
                <w:color w:val="212121"/>
                <w:sz w:val="13"/>
                <w:szCs w:val="13"/>
              </w:rPr>
              <w:t xml:space="preserve">• SAS → PySpark Prompts</w:t>
            </w:r>
          </w:p>
          <w:p>
            <w:pPr>
              <w:spacing w:after="40"/>
            </w:pPr>
            <w:r>
              <w:rPr>
                <w:rFonts w:ascii="Segoe UI" w:cs="Segoe UI" w:eastAsia="Segoe UI" w:hAnsi="Segoe UI"/>
                <w:color w:val="212121"/>
                <w:sz w:val="13"/>
                <w:szCs w:val="13"/>
              </w:rPr>
              <w:t xml:space="preserve">• Informatica → Fabric</w:t>
            </w:r>
          </w:p>
          <w:p>
            <w:pPr>
              <w:spacing w:after="0"/>
            </w:pPr>
            <w:r>
              <w:rPr>
                <w:rFonts w:ascii="Segoe UI" w:cs="Segoe UI" w:eastAsia="Segoe UI" w:hAnsi="Segoe UI"/>
                <w:color w:val="212121"/>
                <w:sz w:val="13"/>
                <w:szCs w:val="13"/>
              </w:rPr>
              <w:t xml:space="preserve">• SSIS → Pipelines</w:t>
            </w:r>
          </w:p>
        </w:tc>
        <w:tc>
          <w:tcPr>
            <w:tcW w:type="dxa" w:w="1872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40"/>
            </w:pPr>
            <w:r>
              <w:rPr>
                <w:rFonts w:ascii="Segoe UI" w:cs="Segoe UI" w:eastAsia="Segoe UI" w:hAnsi="Segoe UI"/>
                <w:color w:val="212121"/>
                <w:sz w:val="13"/>
                <w:szCs w:val="13"/>
              </w:rPr>
              <w:t xml:space="preserve">• Confidence Scoring</w:t>
            </w:r>
          </w:p>
          <w:p>
            <w:pPr>
              <w:spacing w:after="0"/>
            </w:pPr>
            <w:r>
              <w:rPr>
                <w:rFonts w:ascii="Segoe UI" w:cs="Segoe UI" w:eastAsia="Segoe UI" w:hAnsi="Segoe UI"/>
                <w:color w:val="212121"/>
                <w:sz w:val="13"/>
                <w:szCs w:val="13"/>
              </w:rPr>
              <w:t xml:space="preserve">• Output Validation</w:t>
            </w:r>
          </w:p>
        </w:tc>
        <w:tc>
          <w:tcPr>
            <w:tcW w:type="dxa" w:w="1872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40"/>
            </w:pPr>
            <w:r>
              <w:rPr>
                <w:rFonts w:ascii="Segoe UI" w:cs="Segoe UI" w:eastAsia="Segoe UI" w:hAnsi="Segoe UI"/>
                <w:color w:val="212121"/>
                <w:sz w:val="13"/>
                <w:szCs w:val="13"/>
              </w:rPr>
              <w:t xml:space="preserve">• Human-in-Loop Review</w:t>
            </w:r>
          </w:p>
          <w:p>
            <w:pPr>
              <w:spacing w:after="0"/>
            </w:pPr>
            <w:r>
              <w:rPr>
                <w:rFonts w:ascii="Segoe UI" w:cs="Segoe UI" w:eastAsia="Segoe UI" w:hAnsi="Segoe UI"/>
                <w:color w:val="212121"/>
                <w:sz w:val="13"/>
                <w:szCs w:val="13"/>
              </w:rPr>
              <w:t xml:space="preserve">• Edge Case Playbook</w:t>
            </w:r>
          </w:p>
        </w:tc>
        <w:tc>
          <w:tcPr>
            <w:tcW w:type="dxa" w:w="1872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40"/>
            </w:pPr>
            <w:r>
              <w:rPr>
                <w:rFonts w:ascii="Segoe UI" w:cs="Segoe UI" w:eastAsia="Segoe UI" w:hAnsi="Segoe UI"/>
                <w:color w:val="212121"/>
                <w:sz w:val="13"/>
                <w:szCs w:val="13"/>
              </w:rPr>
              <w:t xml:space="preserve">• Metrics Dashboard</w:t>
            </w:r>
          </w:p>
          <w:p>
            <w:pPr>
              <w:spacing w:after="0"/>
            </w:pPr>
            <w:r>
              <w:rPr>
                <w:rFonts w:ascii="Segoe UI" w:cs="Segoe UI" w:eastAsia="Segoe UI" w:hAnsi="Segoe UI"/>
                <w:color w:val="212121"/>
                <w:sz w:val="13"/>
                <w:szCs w:val="13"/>
              </w:rPr>
              <w:t xml:space="preserve">• Domain Fine-Tuning</w:t>
            </w:r>
          </w:p>
        </w:tc>
      </w:tr>
    </w:tbl>
    <w:p>
      <w:pPr>
        <w:spacing w:before="250" w:after="120"/>
      </w:pPr>
    </w:p>
    <w:p>
      <w:pPr>
        <w:spacing w:after="100"/>
        <w:jc w:val="center"/>
      </w:pPr>
      <w:r>
        <w:rPr>
          <w:rFonts w:ascii="Segoe UI" w:cs="Segoe UI" w:eastAsia="Segoe UI" w:hAnsi="Segoe UI"/>
          <w:b/>
          <w:bCs/>
          <w:color w:val="212121"/>
          <w:sz w:val="18"/>
          <w:szCs w:val="18"/>
        </w:rPr>
        <w:t xml:space="preserve">CONVERSION PIPELINE FLOW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300"/>
        <w:gridCol w:w="1560"/>
        <w:gridCol w:w="300"/>
        <w:gridCol w:w="1560"/>
        <w:gridCol w:w="300"/>
        <w:gridCol w:w="1560"/>
        <w:gridCol w:w="300"/>
        <w:gridCol w:w="1560"/>
      </w:tblGrid>
      <w:tr>
        <w:tc>
          <w:tcPr>
            <w:tcW w:type="dxa" w:w="1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757575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FFFFFF"/>
                <w:sz w:val="12"/>
                <w:szCs w:val="12"/>
              </w:rPr>
              <w:t xml:space="preserve">Legacy Code</w:t>
            </w:r>
          </w:p>
        </w:tc>
        <w:tc>
          <w:tcPr>
            <w:tcW w:type="dxa" w:w="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vAlign w:val="center"/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0D47A1"/>
                <w:sz w:val="16"/>
                <w:szCs w:val="16"/>
              </w:rPr>
              <w:t xml:space="preserve">→</w:t>
            </w:r>
          </w:p>
        </w:tc>
        <w:tc>
          <w:tcPr>
            <w:tcW w:type="dxa" w:w="1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65C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FFFFFF"/>
                <w:sz w:val="12"/>
                <w:szCs w:val="12"/>
              </w:rPr>
              <w:t xml:space="preserve">Prompt Engine</w:t>
            </w:r>
          </w:p>
        </w:tc>
        <w:tc>
          <w:tcPr>
            <w:tcW w:type="dxa" w:w="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vAlign w:val="center"/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0D47A1"/>
                <w:sz w:val="16"/>
                <w:szCs w:val="16"/>
              </w:rPr>
              <w:t xml:space="preserve">→</w:t>
            </w:r>
          </w:p>
        </w:tc>
        <w:tc>
          <w:tcPr>
            <w:tcW w:type="dxa" w:w="1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47A1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FFFFFF"/>
                <w:sz w:val="12"/>
                <w:szCs w:val="12"/>
              </w:rPr>
              <w:t xml:space="preserve">LLM Conversion</w:t>
            </w:r>
          </w:p>
        </w:tc>
        <w:tc>
          <w:tcPr>
            <w:tcW w:type="dxa" w:w="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vAlign w:val="center"/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0D47A1"/>
                <w:sz w:val="16"/>
                <w:szCs w:val="16"/>
              </w:rPr>
              <w:t xml:space="preserve">→</w:t>
            </w:r>
          </w:p>
        </w:tc>
        <w:tc>
          <w:tcPr>
            <w:tcW w:type="dxa" w:w="1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D32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FFFFFF"/>
                <w:sz w:val="12"/>
                <w:szCs w:val="12"/>
              </w:rPr>
              <w:t xml:space="preserve">Validation</w:t>
            </w:r>
          </w:p>
        </w:tc>
        <w:tc>
          <w:tcPr>
            <w:tcW w:type="dxa" w:w="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vAlign w:val="center"/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0D47A1"/>
                <w:sz w:val="16"/>
                <w:szCs w:val="16"/>
              </w:rPr>
              <w:t xml:space="preserve">→</w:t>
            </w:r>
          </w:p>
        </w:tc>
        <w:tc>
          <w:tcPr>
            <w:tcW w:type="dxa" w:w="1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A1B9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FFFFFF"/>
                <w:sz w:val="12"/>
                <w:szCs w:val="12"/>
              </w:rPr>
              <w:t xml:space="preserve">Human Review</w:t>
            </w:r>
          </w:p>
        </w:tc>
      </w:tr>
    </w:tbl>
    <w:p>
      <w:pPr>
        <w:spacing w:before="60" w:after="0"/>
        <w:jc w:val="center"/>
      </w:pPr>
      <w:r>
        <w:rPr>
          <w:rFonts w:ascii="Segoe UI" w:cs="Segoe UI" w:eastAsia="Segoe UI" w:hAnsi="Segoe UI"/>
          <w:color w:val="757575"/>
          <w:sz w:val="11"/>
          <w:szCs w:val="11"/>
        </w:rPr>
        <w:t xml:space="preserve">SAS • Informatica • SSIS</w:t>
      </w:r>
    </w:p>
    <w:p>
      <w:pPr>
        <w:spacing w:before="0" w:after="0"/>
        <w:jc w:val="center"/>
      </w:pPr>
      <w:r>
        <w:rPr>
          <w:rFonts w:ascii="Segoe UI" w:cs="Segoe UI" w:eastAsia="Segoe UI" w:hAnsi="Segoe UI"/>
          <w:color w:val="757575"/>
          <w:sz w:val="11"/>
          <w:szCs w:val="11"/>
        </w:rPr>
        <w:t xml:space="preserve">                                                         Domain Context • Few-Shot • Templates</w:t>
      </w:r>
    </w:p>
    <w:p>
      <w:pPr>
        <w:spacing w:before="200" w:after="100"/>
      </w:pPr>
    </w:p>
    <w:p>
      <w:pPr>
        <w:spacing w:after="100"/>
        <w:jc w:val="center"/>
      </w:pPr>
      <w:r>
        <w:rPr>
          <w:rFonts w:ascii="Segoe UI" w:cs="Segoe UI" w:eastAsia="Segoe UI" w:hAnsi="Segoe UI"/>
          <w:b/>
          <w:bCs/>
          <w:color w:val="212121"/>
          <w:sz w:val="18"/>
          <w:szCs w:val="18"/>
        </w:rPr>
        <w:t xml:space="preserve">KEY DIFFERENTIATORS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3F2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/>
            </w:pPr>
            <w:r>
              <w:rPr>
                <w:rFonts w:ascii="Segoe UI" w:cs="Segoe UI" w:eastAsia="Segoe UI" w:hAnsi="Segoe UI"/>
                <w:b/>
                <w:bCs/>
                <w:color w:val="0D47A1"/>
                <w:sz w:val="14"/>
                <w:szCs w:val="14"/>
              </w:rPr>
              <w:t xml:space="preserve">Auditable AI</w:t>
            </w:r>
          </w:p>
          <w:p>
            <w:r>
              <w:rPr>
                <w:rFonts w:ascii="Segoe UI" w:cs="Segoe UI" w:eastAsia="Segoe UI" w:hAnsi="Segoe UI"/>
                <w:color w:val="212121"/>
                <w:sz w:val="12"/>
                <w:szCs w:val="12"/>
              </w:rPr>
              <w:t xml:space="preserve">Complete lineage from source to target with full prompt logging and confidence scoring</w:t>
            </w:r>
          </w:p>
        </w:tc>
        <w:tc>
          <w:tcPr>
            <w:tcW w:type="dxa" w:w="312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8F5E9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/>
            </w:pPr>
            <w:r>
              <w:rPr>
                <w:rFonts w:ascii="Segoe UI" w:cs="Segoe UI" w:eastAsia="Segoe UI" w:hAnsi="Segoe UI"/>
                <w:b/>
                <w:bCs/>
                <w:color w:val="2E7D32"/>
                <w:sz w:val="14"/>
                <w:szCs w:val="14"/>
              </w:rPr>
              <w:t xml:space="preserve">Domain-Aware</w:t>
            </w:r>
          </w:p>
          <w:p>
            <w:r>
              <w:rPr>
                <w:rFonts w:ascii="Segoe UI" w:cs="Segoe UI" w:eastAsia="Segoe UI" w:hAnsi="Segoe UI"/>
                <w:color w:val="212121"/>
                <w:sz w:val="12"/>
                <w:szCs w:val="12"/>
              </w:rPr>
              <w:t xml:space="preserve">Healthcare payer terminology embedded in prompts: Claims, Eligibility, Providers, LOB</w:t>
            </w:r>
          </w:p>
        </w:tc>
        <w:tc>
          <w:tcPr>
            <w:tcW w:type="dxa" w:w="312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3E5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/>
            </w:pPr>
            <w:r>
              <w:rPr>
                <w:rFonts w:ascii="Segoe UI" w:cs="Segoe UI" w:eastAsia="Segoe UI" w:hAnsi="Segoe UI"/>
                <w:b/>
                <w:bCs/>
                <w:color w:val="6A1B9A"/>
                <w:sz w:val="14"/>
                <w:szCs w:val="14"/>
              </w:rPr>
              <w:t xml:space="preserve">Human-in-the-Loop</w:t>
            </w:r>
          </w:p>
          <w:p>
            <w:r>
              <w:rPr>
                <w:rFonts w:ascii="Segoe UI" w:cs="Segoe UI" w:eastAsia="Segoe UI" w:hAnsi="Segoe UI"/>
                <w:color w:val="212121"/>
                <w:sz w:val="12"/>
                <w:szCs w:val="12"/>
              </w:rPr>
              <w:t xml:space="preserve">Every conversion reviewed by experts with structured feedback for continuous improvement</w:t>
            </w:r>
          </w:p>
        </w:tc>
      </w:tr>
    </w:tbl>
    <w:p>
      <w:pPr>
        <w:spacing w:before="200" w:after="100"/>
      </w:pPr>
    </w:p>
    <w:p>
      <w:pPr>
        <w:spacing w:after="100"/>
        <w:jc w:val="center"/>
      </w:pPr>
      <w:r>
        <w:rPr>
          <w:rFonts w:ascii="Segoe UI" w:cs="Segoe UI" w:eastAsia="Segoe UI" w:hAnsi="Segoe UI"/>
          <w:b/>
          <w:bCs/>
          <w:color w:val="212121"/>
          <w:sz w:val="18"/>
          <w:szCs w:val="18"/>
        </w:rPr>
        <w:t xml:space="preserve">TARGET PERFORMANCE METRICS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0D47A1"/>
                <w:sz w:val="28"/>
                <w:szCs w:val="28"/>
              </w:rPr>
              <w:t xml:space="preserve">&gt;85%</w:t>
            </w:r>
          </w:p>
          <w:p>
            <w:pPr>
              <w:jc w:val="center"/>
            </w:pPr>
            <w:r>
              <w:rPr>
                <w:rFonts w:ascii="Segoe UI" w:cs="Segoe UI" w:eastAsia="Segoe UI" w:hAnsi="Segoe UI"/>
                <w:color w:val="757575"/>
                <w:sz w:val="12"/>
                <w:szCs w:val="12"/>
              </w:rPr>
              <w:t xml:space="preserve">First-Pass Accuracy</w:t>
            </w:r>
          </w:p>
        </w:tc>
        <w:tc>
          <w:tcPr>
            <w:tcW w:type="dxa" w:w="234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0D47A1"/>
                <w:sz w:val="28"/>
                <w:szCs w:val="28"/>
              </w:rPr>
              <w:t xml:space="preserve">50+</w:t>
            </w:r>
          </w:p>
          <w:p>
            <w:pPr>
              <w:jc w:val="center"/>
            </w:pPr>
            <w:r>
              <w:rPr>
                <w:rFonts w:ascii="Segoe UI" w:cs="Segoe UI" w:eastAsia="Segoe UI" w:hAnsi="Segoe UI"/>
                <w:color w:val="757575"/>
                <w:sz w:val="12"/>
                <w:szCs w:val="12"/>
              </w:rPr>
              <w:t xml:space="preserve">Programs/Week</w:t>
            </w:r>
          </w:p>
        </w:tc>
        <w:tc>
          <w:tcPr>
            <w:tcW w:type="dxa" w:w="234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0D47A1"/>
                <w:sz w:val="28"/>
                <w:szCs w:val="28"/>
              </w:rPr>
              <w:t xml:space="preserve">&lt;15%</w:t>
            </w:r>
          </w:p>
          <w:p>
            <w:pPr>
              <w:jc w:val="center"/>
            </w:pPr>
            <w:r>
              <w:rPr>
                <w:rFonts w:ascii="Segoe UI" w:cs="Segoe UI" w:eastAsia="Segoe UI" w:hAnsi="Segoe UI"/>
                <w:color w:val="757575"/>
                <w:sz w:val="12"/>
                <w:szCs w:val="12"/>
              </w:rPr>
              <w:t xml:space="preserve">Rework Rate</w:t>
            </w:r>
          </w:p>
        </w:tc>
        <w:tc>
          <w:tcPr>
            <w:tcW w:type="dxa" w:w="234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0D47A1"/>
                <w:sz w:val="28"/>
                <w:szCs w:val="28"/>
              </w:rPr>
              <w:t xml:space="preserve">&gt;90%</w:t>
            </w:r>
          </w:p>
          <w:p>
            <w:pPr>
              <w:jc w:val="center"/>
            </w:pPr>
            <w:r>
              <w:rPr>
                <w:rFonts w:ascii="Segoe UI" w:cs="Segoe UI" w:eastAsia="Segoe UI" w:hAnsi="Segoe UI"/>
                <w:color w:val="757575"/>
                <w:sz w:val="12"/>
                <w:szCs w:val="12"/>
              </w:rPr>
              <w:t xml:space="preserve">Automation Rate</w:t>
            </w:r>
          </w:p>
        </w:tc>
      </w:tr>
    </w:tbl>
    <w:p>
      <w:pPr>
        <w:spacing w:before="200" w:after="8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AF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0D47A1"/>
                <w:sz w:val="14"/>
                <w:szCs w:val="14"/>
              </w:rPr>
              <w:t xml:space="preserve">MULTI-MODEL</w:t>
            </w:r>
          </w:p>
          <w:p>
            <w:pPr>
              <w:jc w:val="center"/>
            </w:pPr>
            <w:r>
              <w:rPr>
                <w:rFonts w:ascii="Segoe UI" w:cs="Segoe UI" w:eastAsia="Segoe UI" w:hAnsi="Segoe UI"/>
                <w:color w:val="757575"/>
                <w:sz w:val="12"/>
                <w:szCs w:val="12"/>
              </w:rPr>
              <w:t xml:space="preserve">Claude • GPT-4 • Code Llama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AF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0D47A1"/>
                <w:sz w:val="14"/>
                <w:szCs w:val="14"/>
              </w:rPr>
              <w:t xml:space="preserve">ENTERPRISE-READY</w:t>
            </w:r>
          </w:p>
          <w:p>
            <w:pPr>
              <w:jc w:val="center"/>
            </w:pPr>
            <w:r>
              <w:rPr>
                <w:rFonts w:ascii="Segoe UI" w:cs="Segoe UI" w:eastAsia="Segoe UI" w:hAnsi="Segoe UI"/>
                <w:color w:val="757575"/>
                <w:sz w:val="12"/>
                <w:szCs w:val="12"/>
              </w:rPr>
              <w:t xml:space="preserve">SOC 2 • HIPAA • No Training on Data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AF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0D47A1"/>
                <w:sz w:val="14"/>
                <w:szCs w:val="14"/>
              </w:rPr>
              <w:t xml:space="preserve">CONTINUOUS LEARNING</w:t>
            </w:r>
          </w:p>
          <w:p>
            <w:pPr>
              <w:jc w:val="center"/>
            </w:pPr>
            <w:r>
              <w:rPr>
                <w:rFonts w:ascii="Segoe UI" w:cs="Segoe UI" w:eastAsia="Segoe UI" w:hAnsi="Segoe UI"/>
                <w:color w:val="757575"/>
                <w:sz w:val="12"/>
                <w:szCs w:val="12"/>
              </w:rPr>
              <w:t xml:space="preserve">Feedback Loop • Pattern Library</w:t>
            </w:r>
          </w:p>
        </w:tc>
      </w:tr>
    </w:tbl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2026-01-09T13:06:02.328Z</dcterms:created>
  <dcterms:modified xsi:type="dcterms:W3CDTF">2026-01-09T13:06:02.329Z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