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6A1B9A"/>
          <w:sz w:val="64"/>
          <w:szCs w:val="64"/>
        </w:rPr>
        <w:t xml:space="preserve">CHANGE MANAGEMENT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PLAYBOOK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Driving Adoption and Managing Resistance in Data Modernization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playbook provides a structured approach to managing the human side of the data modernization transformation. Successful technology change requires deliberate attention to communication, stakeholder engagement, and resistance management.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1.1 Change Management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People First: Technology changes succeed when people are prepared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Transparency: Honest communication about impacts and timeline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Involvement: Engage stakeholders early and often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Support: Provide resources to help people through the transition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Celebrate: Recognize progress and early wins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2. Stakeholder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2.1 Stakeholder Groups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2280"/>
        <w:gridCol w:w="2280"/>
      </w:tblGrid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Group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Impact Level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Influence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Strategy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Developers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 - Daily work changes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Engage deeply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Analysts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 - Tools change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Support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IT Leadership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 - Budget/Strategy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Sponsor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Leadership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 - Indirect impact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Inform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Consumers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 - Output focused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Inform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Compliance/Security</w:t>
            </w:r>
          </w:p>
        </w:tc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 - New platform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Involve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2.2 Change Impact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Change Area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Impact Description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Daily Tools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Enterprise Guide → Fabric Notebooks, SSMS → Fabric Portal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Programming Language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SAS/Informatica → Python/PySpark (significant learning curve)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Development Process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Individual files → Git version control, CI/CD pipelines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Job Scheduling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Grid/Informatica WF → Fabric Pipelines, different monitoring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Access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libraries/Informatica sources → Lakehouse tables, OneLake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Career Path</w:t>
            </w:r>
          </w:p>
        </w:tc>
        <w:tc>
          <w:tcPr>
            <w:tcW w:type="dxa" w:w="65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SAS expert → Modern data engineer (perceived risk and opportunity)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3. Communication Plan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3.1 Communication Channels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380"/>
        <w:gridCol w:w="2380"/>
      </w:tblGrid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Channel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Town Hall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announcements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Project Sponsor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Meetings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Progress updates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Leads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Newsletter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Wins, tips, updates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Bi-weekly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Lead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Slack/Teams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Daily questions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Ongoing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CoE Team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1:1 Check-ins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Individual concerns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 needed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Managers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FAQs/Wiki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Self-service info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Updated weekly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Lead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3.2 Key Messages by Phase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3.2.1 Phase 1: Awareness (Month 1-2)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Why: Business drivers for modernization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What: Overview of the change, not detailed impacts yet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Timeline: High-level phases and key dates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Support: Training and resources will be provided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3.2.2 Phase 2: Understanding (Month 3-4)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Detailed impact by role and team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Training schedule and expectations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What success looks like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Early wins and proof points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3.2.3 Phase 3: Adoption (Month 5+)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Practical tips and best practices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Recognition of early adopters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Feedback incorporation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Progress metrics and celebration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4. Resistance Management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4.1 Common Resistance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80"/>
        <w:gridCol w:w="368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Symptom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 Strategy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Fear of obsolescence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"SAS is my expertise"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Show career growth path, transferable skills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Comfort with status quo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"Current system works fine"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Explain business drivers, show limitations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Overwhelm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"Too much to learn"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Break into small steps, provide support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Loss of influence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Senior SAS expert concern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Position as mentor, leader in transition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Skepticism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"AI conversion wont work"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Demo success, involve in testing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Passive resistance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Slow adoption, excuses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Clear expectations, accountability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4.2 Resistance Response Playbook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4.2.1 For the Skeptic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Acknowledge their expertise and valid concerns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Involve them in pilot testing and validation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Ask for their input on edge cases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Convert them to champions when they see success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4.2.2 For the Overwhelmed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Break learning into small, achievable steps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Pair with a buddy who has transitioned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Celebrate small wins publicly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Provide extra support and patience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AB47BC"/>
          <w:sz w:val="24"/>
          <w:szCs w:val="24"/>
        </w:rPr>
        <w:t xml:space="preserve">4.2.3 For the Senior Expert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Position them as the bridge between old and new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Leverage their domain knowledge in conversion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Create senior technical mentor role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Recognize their contribution to success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5. Adoption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8E24AA"/>
          <w:sz w:val="28"/>
          <w:szCs w:val="28"/>
        </w:rPr>
        <w:t xml:space="preserve">5.1 Tracking Adoption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430"/>
        <w:gridCol w:w="1715"/>
        <w:gridCol w:w="1715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6A1B9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completion rate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90%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LMS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Sentiment score (survey)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3.5/5.0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Survey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Active Fabric users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80% of target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Fabric logs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Support ticket volume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Decreasing trend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ServiceNow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Self-service rate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60%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FAQ/Wiki hits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Voluntary attrition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5%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HR</w:t>
            </w:r>
          </w:p>
        </w:tc>
        <w:tc>
          <w:tcPr>
            <w:tcW w:type="dxa" w:w="1715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6A1B9A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 Management Playbook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6A1B9A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Change Management Playbook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6A1B9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8E24AA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AB47B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2026-01-09T13:41:50.695Z</dcterms:created>
  <dcterms:modified xsi:type="dcterms:W3CDTF">2026-01-09T13:41:50.696Z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