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Segoe UI Light" w:cs="Segoe UI Light" w:eastAsia="Segoe UI Light" w:hAnsi="Segoe UI Light"/>
          <w:color w:val="1565C0"/>
          <w:sz w:val="36"/>
          <w:szCs w:val="36"/>
        </w:rPr>
        <w:t xml:space="preserve">Migration Governance Asset Library</w:t>
      </w:r>
    </w:p>
    <w:p>
      <w:pPr>
        <w:spacing w:after="200"/>
        <w:jc w:val="center"/>
      </w:pPr>
      <w:r>
        <w:rPr>
          <w:rFonts w:ascii="Segoe UI" w:cs="Segoe UI" w:eastAsia="Segoe UI" w:hAnsi="Segoe UI"/>
          <w:color w:val="757575"/>
          <w:sz w:val="18"/>
          <w:szCs w:val="18"/>
        </w:rPr>
        <w:t xml:space="preserve">10 Assets for De-Risking Migration Delivery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65C0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4"/>
                <w:szCs w:val="14"/>
              </w:rPr>
              <w:t xml:space="preserve">Structure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FFFFFF"/>
                <w:sz w:val="11"/>
                <w:szCs w:val="11"/>
              </w:rPr>
              <w:t xml:space="preserve">2 Assets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976D2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4"/>
                <w:szCs w:val="14"/>
              </w:rPr>
              <w:t xml:space="preserve">Risk &amp; Control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FFFFFF"/>
                <w:sz w:val="11"/>
                <w:szCs w:val="11"/>
              </w:rPr>
              <w:t xml:space="preserve">2 Assets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D32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4"/>
                <w:szCs w:val="14"/>
              </w:rPr>
              <w:t xml:space="preserve">Quality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FFFFFF"/>
                <w:sz w:val="11"/>
                <w:szCs w:val="11"/>
              </w:rPr>
              <w:t xml:space="preserve">2 Assets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6C00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4"/>
                <w:szCs w:val="14"/>
              </w:rPr>
              <w:t xml:space="preserve">Communication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FFFFFF"/>
                <w:sz w:val="11"/>
                <w:szCs w:val="11"/>
              </w:rPr>
              <w:t xml:space="preserve">2 Assets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A1B9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4"/>
                <w:szCs w:val="14"/>
              </w:rPr>
              <w:t xml:space="preserve">Execution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FFFFFF"/>
                <w:sz w:val="11"/>
                <w:szCs w:val="11"/>
              </w:rPr>
              <w:t xml:space="preserve">2 Assets</w:t>
            </w:r>
          </w:p>
        </w:tc>
      </w:tr>
      <w:tr>
        <w:tc>
          <w:tcPr>
            <w:tcW w:type="dxa" w:w="1872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60"/>
            </w:tcMar>
          </w:tcPr>
          <w:p>
            <w:pPr>
              <w:spacing w:after="30"/>
            </w:pPr>
            <w:r>
              <w:rPr>
                <w:rFonts w:ascii="Segoe UI" w:cs="Segoe UI" w:eastAsia="Segoe UI" w:hAnsi="Segoe UI"/>
                <w:color w:val="212121"/>
                <w:sz w:val="12"/>
                <w:szCs w:val="12"/>
              </w:rPr>
              <w:t xml:space="preserve">• Governance Framework</w:t>
            </w:r>
          </w:p>
          <w:p>
            <w:pPr>
              <w:spacing w:after="0"/>
            </w:pPr>
            <w:r>
              <w:rPr>
                <w:rFonts w:ascii="Segoe UI" w:cs="Segoe UI" w:eastAsia="Segoe UI" w:hAnsi="Segoe UI"/>
                <w:color w:val="212121"/>
                <w:sz w:val="12"/>
                <w:szCs w:val="12"/>
              </w:rPr>
              <w:t xml:space="preserve">• Program Metrics &amp; KPIs</w:t>
            </w:r>
          </w:p>
        </w:tc>
        <w:tc>
          <w:tcPr>
            <w:tcW w:type="dxa" w:w="1872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60"/>
            </w:tcMar>
          </w:tcPr>
          <w:p>
            <w:pPr>
              <w:spacing w:after="30"/>
            </w:pPr>
            <w:r>
              <w:rPr>
                <w:rFonts w:ascii="Segoe UI" w:cs="Segoe UI" w:eastAsia="Segoe UI" w:hAnsi="Segoe UI"/>
                <w:color w:val="212121"/>
                <w:sz w:val="12"/>
                <w:szCs w:val="12"/>
              </w:rPr>
              <w:t xml:space="preserve">• Risk Management Playbook</w:t>
            </w:r>
          </w:p>
          <w:p>
            <w:pPr>
              <w:spacing w:after="0"/>
            </w:pPr>
            <w:r>
              <w:rPr>
                <w:rFonts w:ascii="Segoe UI" w:cs="Segoe UI" w:eastAsia="Segoe UI" w:hAnsi="Segoe UI"/>
                <w:color w:val="212121"/>
                <w:sz w:val="12"/>
                <w:szCs w:val="12"/>
              </w:rPr>
              <w:t xml:space="preserve">• Scope Change Control</w:t>
            </w:r>
          </w:p>
        </w:tc>
        <w:tc>
          <w:tcPr>
            <w:tcW w:type="dxa" w:w="1872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60"/>
            </w:tcMar>
          </w:tcPr>
          <w:p>
            <w:pPr>
              <w:spacing w:after="30"/>
            </w:pPr>
            <w:r>
              <w:rPr>
                <w:rFonts w:ascii="Segoe UI" w:cs="Segoe UI" w:eastAsia="Segoe UI" w:hAnsi="Segoe UI"/>
                <w:color w:val="212121"/>
                <w:sz w:val="12"/>
                <w:szCs w:val="12"/>
              </w:rPr>
              <w:t xml:space="preserve">• Quality Gates &amp; Checkpoints</w:t>
            </w:r>
          </w:p>
          <w:p>
            <w:pPr>
              <w:spacing w:after="0"/>
            </w:pPr>
            <w:r>
              <w:rPr>
                <w:rFonts w:ascii="Segoe UI" w:cs="Segoe UI" w:eastAsia="Segoe UI" w:hAnsi="Segoe UI"/>
                <w:color w:val="212121"/>
                <w:sz w:val="12"/>
                <w:szCs w:val="12"/>
              </w:rPr>
              <w:t xml:space="preserve">• Milestone Sign-off</w:t>
            </w:r>
          </w:p>
        </w:tc>
        <w:tc>
          <w:tcPr>
            <w:tcW w:type="dxa" w:w="1872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60"/>
            </w:tcMar>
          </w:tcPr>
          <w:p>
            <w:pPr>
              <w:spacing w:after="30"/>
            </w:pPr>
            <w:r>
              <w:rPr>
                <w:rFonts w:ascii="Segoe UI" w:cs="Segoe UI" w:eastAsia="Segoe UI" w:hAnsi="Segoe UI"/>
                <w:color w:val="212121"/>
                <w:sz w:val="12"/>
                <w:szCs w:val="12"/>
              </w:rPr>
              <w:t xml:space="preserve">• Status Reporting Templates</w:t>
            </w:r>
          </w:p>
          <w:p>
            <w:pPr>
              <w:spacing w:after="0"/>
            </w:pPr>
            <w:r>
              <w:rPr>
                <w:rFonts w:ascii="Segoe UI" w:cs="Segoe UI" w:eastAsia="Segoe UI" w:hAnsi="Segoe UI"/>
                <w:color w:val="212121"/>
                <w:sz w:val="12"/>
                <w:szCs w:val="12"/>
              </w:rPr>
              <w:t xml:space="preserve">• Stakeholder Comm Plan</w:t>
            </w:r>
          </w:p>
        </w:tc>
        <w:tc>
          <w:tcPr>
            <w:tcW w:type="dxa" w:w="1872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50"/>
              <w:left w:type="dxa" w:w="60"/>
              <w:bottom w:type="dxa" w:w="50"/>
              <w:right w:type="dxa" w:w="60"/>
            </w:tcMar>
          </w:tcPr>
          <w:p>
            <w:pPr>
              <w:spacing w:after="30"/>
            </w:pPr>
            <w:r>
              <w:rPr>
                <w:rFonts w:ascii="Segoe UI" w:cs="Segoe UI" w:eastAsia="Segoe UI" w:hAnsi="Segoe UI"/>
                <w:color w:val="212121"/>
                <w:sz w:val="12"/>
                <w:szCs w:val="12"/>
              </w:rPr>
              <w:t xml:space="preserve">• Issue Escalation</w:t>
            </w:r>
          </w:p>
          <w:p>
            <w:pPr>
              <w:spacing w:after="0"/>
            </w:pPr>
            <w:r>
              <w:rPr>
                <w:rFonts w:ascii="Segoe UI" w:cs="Segoe UI" w:eastAsia="Segoe UI" w:hAnsi="Segoe UI"/>
                <w:color w:val="212121"/>
                <w:sz w:val="12"/>
                <w:szCs w:val="12"/>
              </w:rPr>
              <w:t xml:space="preserve">• Dependency Management</w:t>
            </w:r>
          </w:p>
        </w:tc>
      </w:tr>
    </w:tbl>
    <w:p>
      <w:pPr>
        <w:spacing w:before="200" w:after="100"/>
      </w:pP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18"/>
          <w:szCs w:val="18"/>
        </w:rPr>
        <w:t xml:space="preserve">GOVERNANCE LIFECYCLE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00"/>
        <w:gridCol w:w="1500"/>
        <w:gridCol w:w="200"/>
        <w:gridCol w:w="1500"/>
        <w:gridCol w:w="200"/>
        <w:gridCol w:w="1500"/>
        <w:gridCol w:w="200"/>
        <w:gridCol w:w="1500"/>
        <w:gridCol w:w="200"/>
        <w:gridCol w:w="1500"/>
      </w:tblGrid>
      <w:tr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65C0" w:val="clear"/>
            <w:tcMar>
              <w:top w:type="dxa" w:w="40"/>
              <w:left w:type="dxa" w:w="50"/>
              <w:bottom w:type="dxa" w:w="40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1"/>
                <w:szCs w:val="11"/>
              </w:rPr>
              <w:t xml:space="preserve">Plan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1565C0"/>
                <w:sz w:val="14"/>
                <w:szCs w:val="14"/>
              </w:rPr>
              <w:t xml:space="preserve">→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976D2" w:val="clear"/>
            <w:tcMar>
              <w:top w:type="dxa" w:w="40"/>
              <w:left w:type="dxa" w:w="50"/>
              <w:bottom w:type="dxa" w:w="40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1"/>
                <w:szCs w:val="11"/>
              </w:rPr>
              <w:t xml:space="preserve">Execute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1565C0"/>
                <w:sz w:val="14"/>
                <w:szCs w:val="14"/>
              </w:rPr>
              <w:t xml:space="preserve">→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D32" w:val="clear"/>
            <w:tcMar>
              <w:top w:type="dxa" w:w="40"/>
              <w:left w:type="dxa" w:w="50"/>
              <w:bottom w:type="dxa" w:w="40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1"/>
                <w:szCs w:val="11"/>
              </w:rPr>
              <w:t xml:space="preserve">Monitor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1565C0"/>
                <w:sz w:val="14"/>
                <w:szCs w:val="14"/>
              </w:rPr>
              <w:t xml:space="preserve">→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6C00" w:val="clear"/>
            <w:tcMar>
              <w:top w:type="dxa" w:w="40"/>
              <w:left w:type="dxa" w:w="50"/>
              <w:bottom w:type="dxa" w:w="40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1"/>
                <w:szCs w:val="11"/>
              </w:rPr>
              <w:t xml:space="preserve">Control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1565C0"/>
                <w:sz w:val="14"/>
                <w:szCs w:val="14"/>
              </w:rPr>
              <w:t xml:space="preserve">→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A1B9A" w:val="clear"/>
            <w:tcMar>
              <w:top w:type="dxa" w:w="40"/>
              <w:left w:type="dxa" w:w="50"/>
              <w:bottom w:type="dxa" w:w="40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1"/>
                <w:szCs w:val="11"/>
              </w:rPr>
              <w:t xml:space="preserve">Report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1565C0"/>
                <w:sz w:val="14"/>
                <w:szCs w:val="14"/>
              </w:rPr>
              <w:t xml:space="preserve">→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65C0" w:val="clear"/>
            <w:tcMar>
              <w:top w:type="dxa" w:w="40"/>
              <w:left w:type="dxa" w:w="50"/>
              <w:bottom w:type="dxa" w:w="40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1"/>
                <w:szCs w:val="11"/>
              </w:rPr>
              <w:t xml:space="preserve">Close</w:t>
            </w:r>
          </w:p>
        </w:tc>
      </w:tr>
    </w:tbl>
    <w:p>
      <w:pPr>
        <w:spacing w:before="200" w:after="100"/>
      </w:pP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18"/>
          <w:szCs w:val="18"/>
        </w:rPr>
        <w:t xml:space="preserve">KEY GOVERNANCE CONTROLS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3F2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b/>
                <w:bCs/>
                <w:color w:val="1565C0"/>
                <w:sz w:val="14"/>
                <w:szCs w:val="14"/>
              </w:rPr>
              <w:t xml:space="preserve">4 Quality Gates</w:t>
            </w:r>
          </w:p>
          <w:p>
            <w:r>
              <w:rPr>
                <w:rFonts w:ascii="Segoe UI" w:cs="Segoe UI" w:eastAsia="Segoe UI" w:hAnsi="Segoe UI"/>
                <w:color w:val="212121"/>
                <w:sz w:val="11"/>
                <w:szCs w:val="11"/>
              </w:rPr>
              <w:t xml:space="preserve">Discovery → Conversion → Testing → Go-Live</w:t>
            </w:r>
          </w:p>
        </w:tc>
        <w:tc>
          <w:tcPr>
            <w:tcW w:type="dxa" w:w="23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3F2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b/>
                <w:bCs/>
                <w:color w:val="1565C0"/>
                <w:sz w:val="14"/>
                <w:szCs w:val="14"/>
              </w:rPr>
              <w:t xml:space="preserve">5-Level Escalation</w:t>
            </w:r>
          </w:p>
          <w:p>
            <w:r>
              <w:rPr>
                <w:rFonts w:ascii="Segoe UI" w:cs="Segoe UI" w:eastAsia="Segoe UI" w:hAnsi="Segoe UI"/>
                <w:color w:val="212121"/>
                <w:sz w:val="11"/>
                <w:szCs w:val="11"/>
              </w:rPr>
              <w:t xml:space="preserve">Team → PM → Leadership → Steering → Exec</w:t>
            </w:r>
          </w:p>
        </w:tc>
        <w:tc>
          <w:tcPr>
            <w:tcW w:type="dxa" w:w="23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3F2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b/>
                <w:bCs/>
                <w:color w:val="1565C0"/>
                <w:sz w:val="14"/>
                <w:szCs w:val="14"/>
              </w:rPr>
              <w:t xml:space="preserve">Risk Scoring</w:t>
            </w:r>
          </w:p>
          <w:p>
            <w:r>
              <w:rPr>
                <w:rFonts w:ascii="Segoe UI" w:cs="Segoe UI" w:eastAsia="Segoe UI" w:hAnsi="Segoe UI"/>
                <w:color w:val="212121"/>
                <w:sz w:val="11"/>
                <w:szCs w:val="11"/>
              </w:rPr>
              <w:t xml:space="preserve">5x5 Matrix: P × I = Score 1-25</w:t>
            </w:r>
          </w:p>
        </w:tc>
        <w:tc>
          <w:tcPr>
            <w:tcW w:type="dxa" w:w="23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3F2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b/>
                <w:bCs/>
                <w:color w:val="1565C0"/>
                <w:sz w:val="14"/>
                <w:szCs w:val="14"/>
              </w:rPr>
              <w:t xml:space="preserve">Formal Sign-off</w:t>
            </w:r>
          </w:p>
          <w:p>
            <w:r>
              <w:rPr>
                <w:rFonts w:ascii="Segoe UI" w:cs="Segoe UI" w:eastAsia="Segoe UI" w:hAnsi="Segoe UI"/>
                <w:color w:val="212121"/>
                <w:sz w:val="11"/>
                <w:szCs w:val="11"/>
              </w:rPr>
              <w:t xml:space="preserve">7 Milestones with documented approval</w:t>
            </w:r>
          </w:p>
        </w:tc>
      </w:tr>
    </w:tbl>
    <w:p>
      <w:pPr>
        <w:spacing w:before="200" w:after="100"/>
      </w:pP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18"/>
          <w:szCs w:val="18"/>
        </w:rPr>
        <w:t xml:space="preserve">TARGET KPIs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1565C0"/>
                <w:sz w:val="26"/>
                <w:szCs w:val="26"/>
              </w:rPr>
              <w:t xml:space="preserve">≥0.95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757575"/>
                <w:sz w:val="11"/>
                <w:szCs w:val="11"/>
              </w:rPr>
              <w:t xml:space="preserve">Schedule Performance Index</w:t>
            </w:r>
          </w:p>
        </w:tc>
        <w:tc>
          <w:tcPr>
            <w:tcW w:type="dxa" w:w="23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1565C0"/>
                <w:sz w:val="26"/>
                <w:szCs w:val="26"/>
              </w:rPr>
              <w:t xml:space="preserve">≤5%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757575"/>
                <w:sz w:val="11"/>
                <w:szCs w:val="11"/>
              </w:rPr>
              <w:t xml:space="preserve">Budget Variance</w:t>
            </w:r>
          </w:p>
        </w:tc>
        <w:tc>
          <w:tcPr>
            <w:tcW w:type="dxa" w:w="23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1565C0"/>
                <w:sz w:val="26"/>
                <w:szCs w:val="26"/>
              </w:rPr>
              <w:t xml:space="preserve">≥85%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757575"/>
                <w:sz w:val="11"/>
                <w:szCs w:val="11"/>
              </w:rPr>
              <w:t xml:space="preserve">First-Pass Success</w:t>
            </w:r>
          </w:p>
        </w:tc>
        <w:tc>
          <w:tcPr>
            <w:tcW w:type="dxa" w:w="23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1565C0"/>
                <w:sz w:val="26"/>
                <w:szCs w:val="26"/>
              </w:rPr>
              <w:t xml:space="preserve">≤10%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757575"/>
                <w:sz w:val="11"/>
                <w:szCs w:val="11"/>
              </w:rPr>
              <w:t xml:space="preserve">Rework Rate</w:t>
            </w:r>
          </w:p>
        </w:tc>
      </w:tr>
    </w:tbl>
    <w:p>
      <w:pPr>
        <w:spacing w:before="200" w:after="8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3F2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1565C0"/>
                <w:sz w:val="14"/>
                <w:szCs w:val="14"/>
              </w:rPr>
              <w:t xml:space="preserve">WEEKLY STATUS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757575"/>
                <w:sz w:val="11"/>
                <w:szCs w:val="11"/>
              </w:rPr>
              <w:t xml:space="preserve">RAG Dashboard + Metrics Report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3F2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1565C0"/>
                <w:sz w:val="14"/>
                <w:szCs w:val="14"/>
              </w:rPr>
              <w:t xml:space="preserve">MONTHLY STEERING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757575"/>
                <w:sz w:val="11"/>
                <w:szCs w:val="11"/>
              </w:rPr>
              <w:t xml:space="preserve">Executive Dashboard + Decisions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3F2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1565C0"/>
                <w:sz w:val="14"/>
                <w:szCs w:val="14"/>
              </w:rPr>
              <w:t xml:space="preserve">CHANGE CONTROL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757575"/>
                <w:sz w:val="11"/>
                <w:szCs w:val="11"/>
              </w:rPr>
              <w:t xml:space="preserve">Minor/Moderate/Major/Critical Tiers</w:t>
            </w:r>
          </w:p>
        </w:tc>
      </w:tr>
    </w:tbl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2026-01-09T14:25:07.311Z</dcterms:created>
  <dcterms:modified xsi:type="dcterms:W3CDTF">2026-01-09T14:25:07.312Z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