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Segoe UI Light" w:cs="Segoe UI Light" w:eastAsia="Segoe UI Light" w:hAnsi="Segoe UI Light"/>
          <w:color w:val="1565C0"/>
          <w:sz w:val="64"/>
          <w:szCs w:val="64"/>
        </w:rPr>
        <w:t xml:space="preserve">MIGRATION GOVERNANCE</w:t>
      </w:r>
    </w:p>
    <w:p>
      <w:pPr>
        <w:spacing w:after="100"/>
        <w:jc w:val="center"/>
      </w:pPr>
      <w:r>
        <w:rPr>
          <w:rFonts w:ascii="Segoe UI" w:cs="Segoe UI" w:eastAsia="Segoe UI" w:hAnsi="Segoe UI"/>
          <w:b/>
          <w:bCs/>
          <w:color w:val="212121"/>
          <w:sz w:val="56"/>
          <w:szCs w:val="56"/>
        </w:rPr>
        <w:t xml:space="preserve">FRAMEWORK</w:t>
      </w:r>
    </w:p>
    <w:p>
      <w:pPr>
        <w:spacing w:before="400"/>
      </w:pPr>
    </w:p>
    <w:p>
      <w:pPr>
        <w:jc w:val="center"/>
      </w:pPr>
      <w:r>
        <w:rPr>
          <w:rFonts w:ascii="Segoe UI" w:cs="Segoe UI" w:eastAsia="Segoe UI" w:hAnsi="Segoe UI"/>
          <w:color w:val="757575"/>
          <w:sz w:val="24"/>
          <w:szCs w:val="24"/>
        </w:rPr>
        <w:t xml:space="preserve">Structured Oversight for Data Modernization Success</w:t>
      </w:r>
    </w:p>
    <w:p>
      <w:pPr>
        <w:spacing w:before="1200"/>
      </w:pPr>
    </w:p>
    <w:p>
      <w:pPr>
        <w:jc w:val="center"/>
      </w:pPr>
      <w:r>
        <w:rPr>
          <w:rFonts w:ascii="Segoe UI" w:cs="Segoe UI" w:eastAsia="Segoe UI" w:hAnsi="Segoe UI"/>
          <w:color w:val="757575"/>
          <w:sz w:val="20"/>
          <w:szCs w:val="20"/>
        </w:rPr>
        <w:t xml:space="preserve">Version 1.0 | Confidential</w:t>
      </w:r>
    </w:p>
    <w:p>
      <w:r>
        <w:br w:type="page"/>
      </w:r>
    </w:p>
    <w:p>
      <w:pPr>
        <w:pStyle w:val="Heading1"/>
        <w:spacing w:before="400" w:after="200"/>
      </w:pPr>
      <w:r>
        <w:rPr>
          <w:rFonts w:ascii="Segoe UI" w:cs="Segoe UI" w:eastAsia="Segoe UI" w:hAnsi="Segoe UI"/>
          <w:b/>
          <w:bCs/>
          <w:color w:val="1565C0"/>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1565C0"/>
          <w:sz w:val="36"/>
          <w:szCs w:val="36"/>
        </w:rPr>
        <w:t xml:space="preserve">1. Executive Summary</w:t>
      </w:r>
    </w:p>
    <w:p>
      <w:pPr>
        <w:spacing w:after="160"/>
      </w:pPr>
      <w:r>
        <w:rPr>
          <w:rFonts w:ascii="Segoe UI" w:cs="Segoe UI" w:eastAsia="Segoe UI" w:hAnsi="Segoe UI"/>
          <w:color w:val="212121"/>
          <w:sz w:val="22"/>
          <w:szCs w:val="22"/>
        </w:rPr>
        <w:t xml:space="preserve">This governance framework establishes the structure, processes, and controls for managing the data modernization program. Effective governance ensures alignment between business objectives and technical execution while managing risks and enabling timely decision-making.</w:t>
      </w:r>
    </w:p>
    <w:p>
      <w:pPr>
        <w:pStyle w:val="Heading2"/>
        <w:spacing w:before="300" w:after="150"/>
      </w:pPr>
      <w:r>
        <w:rPr>
          <w:rFonts w:ascii="Segoe UI" w:cs="Segoe UI" w:eastAsia="Segoe UI" w:hAnsi="Segoe UI"/>
          <w:b/>
          <w:bCs/>
          <w:color w:val="1976D2"/>
          <w:sz w:val="28"/>
          <w:szCs w:val="28"/>
        </w:rPr>
        <w:t xml:space="preserve">1.1 Governance Objectives</w:t>
      </w:r>
    </w:p>
    <w:p>
      <w:pPr>
        <w:pStyle w:val="ListParagraph"/>
        <w:numPr>
          <w:ilvl w:val="0"/>
          <w:numId w:val="2"/>
        </w:numPr>
        <w:spacing w:after="80"/>
      </w:pPr>
      <w:r>
        <w:rPr>
          <w:rFonts w:ascii="Segoe UI" w:cs="Segoe UI" w:eastAsia="Segoe UI" w:hAnsi="Segoe UI"/>
          <w:sz w:val="22"/>
          <w:szCs w:val="22"/>
        </w:rPr>
        <w:t xml:space="preserve">Alignment: Ensure migration aligns with business priorities</w:t>
      </w:r>
    </w:p>
    <w:p>
      <w:pPr>
        <w:pStyle w:val="ListParagraph"/>
        <w:numPr>
          <w:ilvl w:val="0"/>
          <w:numId w:val="2"/>
        </w:numPr>
        <w:spacing w:after="80"/>
      </w:pPr>
      <w:r>
        <w:rPr>
          <w:rFonts w:ascii="Segoe UI" w:cs="Segoe UI" w:eastAsia="Segoe UI" w:hAnsi="Segoe UI"/>
          <w:sz w:val="22"/>
          <w:szCs w:val="22"/>
        </w:rPr>
        <w:t xml:space="preserve">Accountability: Clear ownership for all deliverables and decisions</w:t>
      </w:r>
    </w:p>
    <w:p>
      <w:pPr>
        <w:pStyle w:val="ListParagraph"/>
        <w:numPr>
          <w:ilvl w:val="0"/>
          <w:numId w:val="2"/>
        </w:numPr>
        <w:spacing w:after="80"/>
      </w:pPr>
      <w:r>
        <w:rPr>
          <w:rFonts w:ascii="Segoe UI" w:cs="Segoe UI" w:eastAsia="Segoe UI" w:hAnsi="Segoe UI"/>
          <w:sz w:val="22"/>
          <w:szCs w:val="22"/>
        </w:rPr>
        <w:t xml:space="preserve">Transparency: Visible progress, risks, and issues to all stakeholders</w:t>
      </w:r>
    </w:p>
    <w:p>
      <w:pPr>
        <w:pStyle w:val="ListParagraph"/>
        <w:numPr>
          <w:ilvl w:val="0"/>
          <w:numId w:val="2"/>
        </w:numPr>
        <w:spacing w:after="80"/>
      </w:pPr>
      <w:r>
        <w:rPr>
          <w:rFonts w:ascii="Segoe UI" w:cs="Segoe UI" w:eastAsia="Segoe UI" w:hAnsi="Segoe UI"/>
          <w:sz w:val="22"/>
          <w:szCs w:val="22"/>
        </w:rPr>
        <w:t xml:space="preserve">Control: Manage scope, schedule, budget, and quality</w:t>
      </w:r>
    </w:p>
    <w:p>
      <w:pPr>
        <w:pStyle w:val="ListParagraph"/>
        <w:numPr>
          <w:ilvl w:val="0"/>
          <w:numId w:val="2"/>
        </w:numPr>
        <w:spacing w:after="200"/>
      </w:pPr>
      <w:r>
        <w:rPr>
          <w:rFonts w:ascii="Segoe UI" w:cs="Segoe UI" w:eastAsia="Segoe UI" w:hAnsi="Segoe UI"/>
          <w:sz w:val="22"/>
          <w:szCs w:val="22"/>
        </w:rPr>
        <w:t xml:space="preserve">Agility: Enable rapid decision-making without bureaucracy</w:t>
      </w:r>
    </w:p>
    <w:p>
      <w:r>
        <w:br w:type="page"/>
      </w:r>
    </w:p>
    <w:p>
      <w:pPr>
        <w:pStyle w:val="Heading1"/>
        <w:spacing w:before="400" w:after="200"/>
      </w:pPr>
      <w:r>
        <w:rPr>
          <w:rFonts w:ascii="Segoe UI" w:cs="Segoe UI" w:eastAsia="Segoe UI" w:hAnsi="Segoe UI"/>
          <w:b/>
          <w:bCs/>
          <w:color w:val="1565C0"/>
          <w:sz w:val="36"/>
          <w:szCs w:val="36"/>
        </w:rPr>
        <w:t xml:space="preserve">2. Governance Structure</w:t>
      </w:r>
    </w:p>
    <w:p>
      <w:pPr>
        <w:pStyle w:val="Heading2"/>
        <w:spacing w:before="300" w:after="150"/>
      </w:pPr>
      <w:r>
        <w:rPr>
          <w:rFonts w:ascii="Segoe UI" w:cs="Segoe UI" w:eastAsia="Segoe UI" w:hAnsi="Segoe UI"/>
          <w:b/>
          <w:bCs/>
          <w:color w:val="1976D2"/>
          <w:sz w:val="28"/>
          <w:szCs w:val="28"/>
        </w:rPr>
        <w:t xml:space="preserve">2.1 Governance Bodies</w:t>
      </w:r>
    </w:p>
    <w:p>
      <w:pPr>
        <w:shd w:fill="263238" w:val="clear"/>
        <w:spacing w:after="40"/>
      </w:pPr>
      <w:r>
        <w:rPr>
          <w:rFonts w:ascii="Consolas" w:cs="Consolas" w:eastAsia="Consolas" w:hAnsi="Consolas"/>
          <w:color w:val="B0BEC5"/>
          <w:sz w:val="18"/>
          <w:szCs w:val="18"/>
        </w:rPr>
        <w:t xml:space="preserve">┌─────────────────────────────────────────────────────────────────┐</w:t>
      </w:r>
    </w:p>
    <w:p>
      <w:pPr>
        <w:shd w:fill="263238" w:val="clear"/>
        <w:spacing w:after="40"/>
      </w:pPr>
      <w:r>
        <w:rPr>
          <w:rFonts w:ascii="Consolas" w:cs="Consolas" w:eastAsia="Consolas" w:hAnsi="Consolas"/>
          <w:color w:val="B0BEC5"/>
          <w:sz w:val="18"/>
          <w:szCs w:val="18"/>
        </w:rPr>
        <w:t xml:space="preserve">│                    STEERING COMMITTEE                          │</w:t>
      </w:r>
    </w:p>
    <w:p>
      <w:pPr>
        <w:shd w:fill="263238" w:val="clear"/>
        <w:spacing w:after="40"/>
      </w:pPr>
      <w:r>
        <w:rPr>
          <w:rFonts w:ascii="Consolas" w:cs="Consolas" w:eastAsia="Consolas" w:hAnsi="Consolas"/>
          <w:color w:val="B0BEC5"/>
          <w:sz w:val="18"/>
          <w:szCs w:val="18"/>
        </w:rPr>
        <w:t xml:space="preserve">│    Executive sponsors, business owners, IT leadership          │</w:t>
      </w:r>
    </w:p>
    <w:p>
      <w:pPr>
        <w:shd w:fill="263238" w:val="clear"/>
        <w:spacing w:after="40"/>
      </w:pPr>
      <w:r>
        <w:rPr>
          <w:rFonts w:ascii="Consolas" w:cs="Consolas" w:eastAsia="Consolas" w:hAnsi="Consolas"/>
          <w:color w:val="B0BEC5"/>
          <w:sz w:val="18"/>
          <w:szCs w:val="18"/>
        </w:rPr>
        <w:t xml:space="preserve">│    Frequency: Monthly | Quorum: 3 of 5 members                 │</w:t>
      </w:r>
    </w:p>
    <w:p>
      <w:pPr>
        <w:shd w:fill="263238" w:val="clear"/>
        <w:spacing w:after="40"/>
      </w:pPr>
      <w:r>
        <w:rPr>
          <w:rFonts w:ascii="Consolas" w:cs="Consolas" w:eastAsia="Consolas" w:hAnsi="Consolas"/>
          <w:color w:val="B0BEC5"/>
          <w:sz w:val="18"/>
          <w:szCs w:val="18"/>
        </w:rPr>
        <w:t xml:space="preserve">└───────────────────────────┬─────────────────────────────────────┘</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w:t>
      </w:r>
    </w:p>
    <w:p>
      <w:pPr>
        <w:shd w:fill="263238" w:val="clear"/>
        <w:spacing w:after="40"/>
      </w:pPr>
      <w:r>
        <w:rPr>
          <w:rFonts w:ascii="Consolas" w:cs="Consolas" w:eastAsia="Consolas" w:hAnsi="Consolas"/>
          <w:color w:val="B0BEC5"/>
          <w:sz w:val="18"/>
          <w:szCs w:val="18"/>
        </w:rPr>
        <w:t xml:space="preserve">│                    PROGRAM LEADERSHIP                           │</w:t>
      </w:r>
    </w:p>
    <w:p>
      <w:pPr>
        <w:shd w:fill="263238" w:val="clear"/>
        <w:spacing w:after="40"/>
      </w:pPr>
      <w:r>
        <w:rPr>
          <w:rFonts w:ascii="Consolas" w:cs="Consolas" w:eastAsia="Consolas" w:hAnsi="Consolas"/>
          <w:color w:val="B0BEC5"/>
          <w:sz w:val="18"/>
          <w:szCs w:val="18"/>
        </w:rPr>
        <w:t xml:space="preserve">│    Program Manager, Technical Lead, Client Lead                 │</w:t>
      </w:r>
    </w:p>
    <w:p>
      <w:pPr>
        <w:shd w:fill="263238" w:val="clear"/>
        <w:spacing w:after="40"/>
      </w:pPr>
      <w:r>
        <w:rPr>
          <w:rFonts w:ascii="Consolas" w:cs="Consolas" w:eastAsia="Consolas" w:hAnsi="Consolas"/>
          <w:color w:val="B0BEC5"/>
          <w:sz w:val="18"/>
          <w:szCs w:val="18"/>
        </w:rPr>
        <w:t xml:space="preserve">│    Frequency: Weekly | Decision authority: &lt;$50K, &lt;2 weeks     │</w:t>
      </w:r>
    </w:p>
    <w:p>
      <w:pPr>
        <w:shd w:fill="263238" w:val="clear"/>
        <w:spacing w:after="40"/>
      </w:pPr>
      <w:r>
        <w:rPr>
          <w:rFonts w:ascii="Consolas" w:cs="Consolas" w:eastAsia="Consolas" w:hAnsi="Consolas"/>
          <w:color w:val="B0BEC5"/>
          <w:sz w:val="18"/>
          <w:szCs w:val="18"/>
        </w:rPr>
        <w:t xml:space="preserve">└───────────────────────────┬─────────────────────────────────────┘</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                   │                   │</w:t>
      </w:r>
    </w:p>
    <w:p>
      <w:pPr>
        <w:shd w:fill="263238" w:val="clear"/>
        <w:spacing w:after="40"/>
      </w:pPr>
      <w:r>
        <w:rPr>
          <w:rFonts w:ascii="Consolas" w:cs="Consolas" w:eastAsia="Consolas" w:hAnsi="Consolas"/>
          <w:color w:val="B0BEC5"/>
          <w:sz w:val="18"/>
          <w:szCs w:val="18"/>
        </w:rPr>
        <w:t xml:space="preserve">┌───────┴───────┐   ┌───────┴───────┐   ┌───────┴───────┐</w:t>
      </w:r>
    </w:p>
    <w:p>
      <w:pPr>
        <w:shd w:fill="263238" w:val="clear"/>
        <w:spacing w:after="40"/>
      </w:pPr>
      <w:r>
        <w:rPr>
          <w:rFonts w:ascii="Consolas" w:cs="Consolas" w:eastAsia="Consolas" w:hAnsi="Consolas"/>
          <w:color w:val="B0BEC5"/>
          <w:sz w:val="18"/>
          <w:szCs w:val="18"/>
        </w:rPr>
        <w:t xml:space="preserve">│  WORKSTREAM   │   │  WORKSTREAM   │   │  WORKSTREAM   │</w:t>
      </w:r>
    </w:p>
    <w:p>
      <w:pPr>
        <w:shd w:fill="263238" w:val="clear"/>
        <w:spacing w:after="40"/>
      </w:pPr>
      <w:r>
        <w:rPr>
          <w:rFonts w:ascii="Consolas" w:cs="Consolas" w:eastAsia="Consolas" w:hAnsi="Consolas"/>
          <w:color w:val="B0BEC5"/>
          <w:sz w:val="18"/>
          <w:szCs w:val="18"/>
        </w:rPr>
        <w:t xml:space="preserve">│     LEADS     │   │     LEADS     │   │     LEADS     │</w:t>
      </w:r>
    </w:p>
    <w:p>
      <w:pPr>
        <w:shd w:fill="263238" w:val="clear"/>
        <w:spacing w:after="40"/>
      </w:pPr>
      <w:r>
        <w:rPr>
          <w:rFonts w:ascii="Consolas" w:cs="Consolas" w:eastAsia="Consolas" w:hAnsi="Consolas"/>
          <w:color w:val="B0BEC5"/>
          <w:sz w:val="18"/>
          <w:szCs w:val="18"/>
        </w:rPr>
        <w:t xml:space="preserve">│  SAS Conv.    │   │  Informatica  │   │    SSIS       │</w:t>
      </w:r>
    </w:p>
    <w:p>
      <w:pPr>
        <w:shd w:fill="263238" w:val="clear"/>
        <w:spacing w:after="200"/>
      </w:pPr>
      <w:r>
        <w:rPr>
          <w:rFonts w:ascii="Consolas" w:cs="Consolas" w:eastAsia="Consolas" w:hAnsi="Consolas"/>
          <w:color w:val="B0BEC5"/>
          <w:sz w:val="18"/>
          <w:szCs w:val="18"/>
        </w:rPr>
        <w:t xml:space="preserve">└───────────────┘   └───────────────┘   └───────────────┘</w:t>
      </w:r>
    </w:p>
    <w:p>
      <w:pPr>
        <w:pStyle w:val="Heading2"/>
        <w:spacing w:before="300" w:after="150"/>
      </w:pPr>
      <w:r>
        <w:rPr>
          <w:rFonts w:ascii="Segoe UI" w:cs="Segoe UI" w:eastAsia="Segoe UI" w:hAnsi="Segoe UI"/>
          <w:b/>
          <w:bCs/>
          <w:color w:val="1976D2"/>
          <w:sz w:val="28"/>
          <w:szCs w:val="28"/>
        </w:rPr>
        <w:t xml:space="preserve">2.2 Role Definitions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Role</w:t>
            </w:r>
          </w:p>
        </w:tc>
        <w:tc>
          <w:tcPr>
            <w:tcW w:type="dxa" w:w="696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Responsibilities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Executive Sponsor</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Strategic direction, funding approval, organizational alignment, escalation resolution</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Program Manager</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Overall delivery, schedule, budget, resource management, stakeholder communication</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Technical Lead</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Architecture decisions, technical standards, quality oversight, technical risk management</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Client Lead</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Business requirements, UAT coordination, change management, business sign-off</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Workstream Lead</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Day-to-day execution, team management, progress reporting, issue identification</w:t>
            </w:r>
          </w:p>
        </w:tc>
      </w:tr>
    </w:tbl>
    <w:p>
      <w:pPr>
        <w:spacing w:after="200"/>
      </w:pPr>
    </w:p>
    <w:p>
      <w:r>
        <w:br w:type="page"/>
      </w:r>
    </w:p>
    <w:p>
      <w:pPr>
        <w:pStyle w:val="Heading1"/>
        <w:spacing w:before="400" w:after="200"/>
      </w:pPr>
      <w:r>
        <w:rPr>
          <w:rFonts w:ascii="Segoe UI" w:cs="Segoe UI" w:eastAsia="Segoe UI" w:hAnsi="Segoe UI"/>
          <w:b/>
          <w:bCs/>
          <w:color w:val="1565C0"/>
          <w:sz w:val="36"/>
          <w:szCs w:val="36"/>
        </w:rPr>
        <w:t xml:space="preserve">3. Decision Framework</w:t>
      </w:r>
    </w:p>
    <w:p>
      <w:pPr>
        <w:pStyle w:val="Heading2"/>
        <w:spacing w:before="300" w:after="150"/>
      </w:pPr>
      <w:r>
        <w:rPr>
          <w:rFonts w:ascii="Segoe UI" w:cs="Segoe UI" w:eastAsia="Segoe UI" w:hAnsi="Segoe UI"/>
          <w:b/>
          <w:bCs/>
          <w:color w:val="1976D2"/>
          <w:sz w:val="28"/>
          <w:szCs w:val="28"/>
        </w:rPr>
        <w:t xml:space="preserve">3.1 Decision Authority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2090"/>
        <w:gridCol w:w="1885"/>
        <w:gridCol w:w="1885"/>
      </w:tblGrid>
      <w:tr>
        <w:tc>
          <w:tcPr>
            <w:tcW w:type="dxa" w:w="350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Decision Type</w:t>
            </w:r>
          </w:p>
        </w:tc>
        <w:tc>
          <w:tcPr>
            <w:tcW w:type="dxa" w:w="209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Workstream</w:t>
            </w:r>
          </w:p>
        </w:tc>
        <w:tc>
          <w:tcPr>
            <w:tcW w:type="dxa" w:w="1885"/>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Program</w:t>
            </w:r>
          </w:p>
        </w:tc>
        <w:tc>
          <w:tcPr>
            <w:tcW w:type="dxa" w:w="1885"/>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Steering</w:t>
            </w:r>
          </w:p>
        </w:tc>
      </w:tr>
      <w:tr>
        <w:tc>
          <w:tcPr>
            <w:tcW w:type="dxa" w:w="35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Technical approach within standards</w:t>
            </w:r>
          </w:p>
        </w:tc>
        <w:tc>
          <w:tcPr>
            <w:tcW w:type="dxa" w:w="209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Inform</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t>
            </w:r>
          </w:p>
        </w:tc>
      </w:tr>
      <w:tr>
        <w:tc>
          <w:tcPr>
            <w:tcW w:type="dxa" w:w="35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Resource allocation within team</w:t>
            </w:r>
          </w:p>
        </w:tc>
        <w:tc>
          <w:tcPr>
            <w:tcW w:type="dxa" w:w="209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Inform</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t>
            </w:r>
          </w:p>
        </w:tc>
      </w:tr>
      <w:tr>
        <w:tc>
          <w:tcPr>
            <w:tcW w:type="dxa" w:w="35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Scope change &lt; 1 week effort</w:t>
            </w:r>
          </w:p>
        </w:tc>
        <w:tc>
          <w:tcPr>
            <w:tcW w:type="dxa" w:w="209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Inform</w:t>
            </w:r>
          </w:p>
        </w:tc>
      </w:tr>
      <w:tr>
        <w:tc>
          <w:tcPr>
            <w:tcW w:type="dxa" w:w="35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Scope change &gt; 1 week effort</w:t>
            </w:r>
          </w:p>
        </w:tc>
        <w:tc>
          <w:tcPr>
            <w:tcW w:type="dxa" w:w="209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r>
      <w:tr>
        <w:tc>
          <w:tcPr>
            <w:tcW w:type="dxa" w:w="35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Budget change &lt; $50K</w:t>
            </w:r>
          </w:p>
        </w:tc>
        <w:tc>
          <w:tcPr>
            <w:tcW w:type="dxa" w:w="209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Inform</w:t>
            </w:r>
          </w:p>
        </w:tc>
      </w:tr>
      <w:tr>
        <w:tc>
          <w:tcPr>
            <w:tcW w:type="dxa" w:w="35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Budget change &gt; $50K</w:t>
            </w:r>
          </w:p>
        </w:tc>
        <w:tc>
          <w:tcPr>
            <w:tcW w:type="dxa" w:w="209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r>
      <w:tr>
        <w:tc>
          <w:tcPr>
            <w:tcW w:type="dxa" w:w="35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Schedule change &gt; 2 weeks</w:t>
            </w:r>
          </w:p>
        </w:tc>
        <w:tc>
          <w:tcPr>
            <w:tcW w:type="dxa" w:w="209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r>
      <w:tr>
        <w:tc>
          <w:tcPr>
            <w:tcW w:type="dxa" w:w="35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Go-live decision</w:t>
            </w:r>
          </w:p>
        </w:tc>
        <w:tc>
          <w:tcPr>
            <w:tcW w:type="dxa" w:w="209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Recommend</w:t>
            </w:r>
          </w:p>
        </w:tc>
        <w:tc>
          <w:tcPr>
            <w:tcW w:type="dxa" w:w="1885"/>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Decide</w:t>
            </w:r>
          </w:p>
        </w:tc>
      </w:tr>
    </w:tbl>
    <w:p>
      <w:pPr>
        <w:spacing w:after="200"/>
      </w:pPr>
    </w:p>
    <w:p>
      <w:pPr>
        <w:pStyle w:val="Heading1"/>
        <w:spacing w:before="400" w:after="200"/>
      </w:pPr>
      <w:r>
        <w:rPr>
          <w:rFonts w:ascii="Segoe UI" w:cs="Segoe UI" w:eastAsia="Segoe UI" w:hAnsi="Segoe UI"/>
          <w:b/>
          <w:bCs/>
          <w:color w:val="1565C0"/>
          <w:sz w:val="36"/>
          <w:szCs w:val="36"/>
        </w:rPr>
        <w:t xml:space="preserve">4. Meeting Cadence</w:t>
      </w:r>
    </w:p>
    <w:p>
      <w:pPr>
        <w:pStyle w:val="Heading2"/>
        <w:spacing w:before="300" w:after="150"/>
      </w:pPr>
      <w:r>
        <w:rPr>
          <w:rFonts w:ascii="Segoe UI" w:cs="Segoe UI" w:eastAsia="Segoe UI" w:hAnsi="Segoe UI"/>
          <w:b/>
          <w:bCs/>
          <w:color w:val="1976D2"/>
          <w:sz w:val="28"/>
          <w:szCs w:val="28"/>
        </w:rPr>
        <w:t xml:space="preserve">4.1 Regular Meetings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2480"/>
        <w:gridCol w:w="2780"/>
      </w:tblGrid>
      <w:tr>
        <w:tc>
          <w:tcPr>
            <w:tcW w:type="dxa" w:w="240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Meeting</w:t>
            </w:r>
          </w:p>
        </w:tc>
        <w:tc>
          <w:tcPr>
            <w:tcW w:type="dxa" w:w="170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Frequency</w:t>
            </w:r>
          </w:p>
        </w:tc>
        <w:tc>
          <w:tcPr>
            <w:tcW w:type="dxa" w:w="24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Attendees</w:t>
            </w:r>
          </w:p>
        </w:tc>
        <w:tc>
          <w:tcPr>
            <w:tcW w:type="dxa" w:w="27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Purpose</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Daily Standup</w:t>
            </w:r>
          </w:p>
        </w:tc>
        <w:tc>
          <w:tcPr>
            <w:tcW w:type="dxa" w:w="17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Daily</w:t>
            </w:r>
          </w:p>
        </w:tc>
        <w:tc>
          <w:tcPr>
            <w:tcW w:type="dxa" w:w="24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Workstream team</w:t>
            </w:r>
          </w:p>
        </w:tc>
        <w:tc>
          <w:tcPr>
            <w:tcW w:type="dxa" w:w="27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Progress, blockers</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Workstream Sync</w:t>
            </w:r>
          </w:p>
        </w:tc>
        <w:tc>
          <w:tcPr>
            <w:tcW w:type="dxa" w:w="17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Weekly</w:t>
            </w:r>
          </w:p>
        </w:tc>
        <w:tc>
          <w:tcPr>
            <w:tcW w:type="dxa" w:w="24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Workstream leads</w:t>
            </w:r>
          </w:p>
        </w:tc>
        <w:tc>
          <w:tcPr>
            <w:tcW w:type="dxa" w:w="27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Cross-team coordination</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Program Status</w:t>
            </w:r>
          </w:p>
        </w:tc>
        <w:tc>
          <w:tcPr>
            <w:tcW w:type="dxa" w:w="17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Weekly</w:t>
            </w:r>
          </w:p>
        </w:tc>
        <w:tc>
          <w:tcPr>
            <w:tcW w:type="dxa" w:w="24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Program leadership</w:t>
            </w:r>
          </w:p>
        </w:tc>
        <w:tc>
          <w:tcPr>
            <w:tcW w:type="dxa" w:w="27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Overall status, decisions</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Client Checkpoint</w:t>
            </w:r>
          </w:p>
        </w:tc>
        <w:tc>
          <w:tcPr>
            <w:tcW w:type="dxa" w:w="17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Weekly</w:t>
            </w:r>
          </w:p>
        </w:tc>
        <w:tc>
          <w:tcPr>
            <w:tcW w:type="dxa" w:w="24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Program + Client</w:t>
            </w:r>
          </w:p>
        </w:tc>
        <w:tc>
          <w:tcPr>
            <w:tcW w:type="dxa" w:w="27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Progress review, issues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Steering Committee</w:t>
            </w:r>
          </w:p>
        </w:tc>
        <w:tc>
          <w:tcPr>
            <w:tcW w:type="dxa" w:w="17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Monthly</w:t>
            </w:r>
          </w:p>
        </w:tc>
        <w:tc>
          <w:tcPr>
            <w:tcW w:type="dxa" w:w="24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Executives</w:t>
            </w:r>
          </w:p>
        </w:tc>
        <w:tc>
          <w:tcPr>
            <w:tcW w:type="dxa" w:w="27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Strategic review</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Technical Review</w:t>
            </w:r>
          </w:p>
        </w:tc>
        <w:tc>
          <w:tcPr>
            <w:tcW w:type="dxa" w:w="17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Bi-weekly</w:t>
            </w:r>
          </w:p>
        </w:tc>
        <w:tc>
          <w:tcPr>
            <w:tcW w:type="dxa" w:w="24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Tech leads, architects</w:t>
            </w:r>
          </w:p>
        </w:tc>
        <w:tc>
          <w:tcPr>
            <w:tcW w:type="dxa" w:w="27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Architecture, standards</w:t>
            </w:r>
          </w:p>
        </w:tc>
      </w:tr>
    </w:tbl>
    <w:p>
      <w:pPr>
        <w:spacing w:after="200"/>
      </w:pPr>
    </w:p>
    <w:p>
      <w:pPr>
        <w:pStyle w:val="Heading1"/>
        <w:spacing w:before="400" w:after="200"/>
      </w:pPr>
      <w:r>
        <w:rPr>
          <w:rFonts w:ascii="Segoe UI" w:cs="Segoe UI" w:eastAsia="Segoe UI" w:hAnsi="Segoe UI"/>
          <w:b/>
          <w:bCs/>
          <w:color w:val="1565C0"/>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Title</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Migration Governance Framework</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Version</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w:t>
            </w:r>
          </w:p>
        </w:tc>
      </w:tr>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Classification</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Confidential</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Last Updated</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January 2025</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565C0" w:sz="6"/>
      </w:pBdr>
      <w:spacing w:before="100"/>
      <w:jc w:val="center"/>
    </w:pPr>
    <w:r>
      <w:rPr>
        <w:rFonts w:ascii="Segoe UI" w:cs="Segoe UI" w:eastAsia="Segoe UI" w:hAnsi="Segoe UI"/>
        <w:color w:val="757575"/>
        <w:sz w:val="18"/>
        <w:szCs w:val="18"/>
      </w:rPr>
      <w:t xml:space="preserve">Page </w:t>
    </w:r>
    <w:r>
      <w:rPr>
        <w:rFonts w:ascii="Segoe UI" w:cs="Segoe UI" w:eastAsia="Segoe UI" w:hAnsi="Segoe UI"/>
        <w:color w:val="757575"/>
        <w:sz w:val="18"/>
        <w:szCs w:val="18"/>
      </w:rPr>
      <w:fldChar w:fldCharType="begin"/>
      <w:instrText xml:space="preserve">PAGE</w:instrText>
      <w:fldChar w:fldCharType="separate"/>
      <w:fldChar w:fldCharType="end"/>
    </w:r>
    <w:r>
      <w:rPr>
        <w:rFonts w:ascii="Segoe UI" w:cs="Segoe UI" w:eastAsia="Segoe UI" w:hAnsi="Segoe UI"/>
        <w:color w:val="757575"/>
        <w:sz w:val="18"/>
        <w:szCs w:val="18"/>
      </w:rPr>
      <w:t xml:space="preserve"> of </w:t>
    </w:r>
    <w:r>
      <w:rPr>
        <w:rFonts w:ascii="Segoe UI" w:cs="Segoe UI" w:eastAsia="Segoe UI" w:hAnsi="Segoe UI"/>
        <w:color w:val="7575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757575"/>
        <w:sz w:val="18"/>
        <w:szCs w:val="18"/>
      </w:rPr>
      <w:t xml:space="preserve">Migration Governance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1565C0"/>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976D2"/>
      <w:sz w:val="28"/>
      <w:szCs w:val="28"/>
    </w:rPr>
  </w:style>
  <w:style w:type="paragraph" w:styleId="Heading3">
    <w:name w:val="Heading 3"/>
    <w:basedOn w:val="Normal"/>
    <w:next w:val="Normal"/>
    <w:qFormat/>
    <w:pPr>
      <w:spacing w:before="200" w:after="100"/>
      <w:outlineLvl w:val="2"/>
    </w:pPr>
    <w:rPr>
      <w:rFonts w:ascii="Segoe UI" w:cs="Segoe UI" w:eastAsia="Segoe UI" w:hAnsi="Segoe UI"/>
      <w:b/>
      <w:bCs/>
      <w:color w:val="42A5F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2026-01-09T14:20:18.958Z</dcterms:created>
  <dcterms:modified xsi:type="dcterms:W3CDTF">2026-01-09T14:20:18.959Z</dcterms:modified>
</cp:coreProperties>
</file>

<file path=docProps/custom.xml><?xml version="1.0" encoding="utf-8"?>
<Properties xmlns="http://schemas.openxmlformats.org/officeDocument/2006/custom-properties" xmlns:vt="http://schemas.openxmlformats.org/officeDocument/2006/docPropsVTypes"/>
</file>