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771C" w14:textId="77777777" w:rsidR="00D50EC6" w:rsidRDefault="00D50EC6">
      <w:pPr>
        <w:jc w:val="center"/>
      </w:pPr>
    </w:p>
    <w:p w14:paraId="2C2C2FA3" w14:textId="0DF67A64" w:rsidR="00D50EC6" w:rsidRDefault="003C31E6">
      <w:pPr>
        <w:jc w:val="center"/>
      </w:pPr>
      <w:r>
        <w:rPr>
          <w:noProof/>
        </w:rPr>
        <w:drawing>
          <wp:inline distT="0" distB="0" distL="0" distR="0" wp14:anchorId="43C206C0" wp14:editId="1C072F39">
            <wp:extent cx="315416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ch-logo-converted.png"/>
                    <pic:cNvPicPr/>
                  </pic:nvPicPr>
                  <pic:blipFill>
                    <a:blip r:embed="rId11"/>
                    <a:stretch>
                      <a:fillRect/>
                    </a:stretch>
                  </pic:blipFill>
                  <pic:spPr>
                    <a:xfrm>
                      <a:off x="0" y="0"/>
                      <a:ext cx="3161323" cy="738273"/>
                    </a:xfrm>
                    <a:prstGeom prst="rect">
                      <a:avLst/>
                    </a:prstGeom>
                  </pic:spPr>
                </pic:pic>
              </a:graphicData>
            </a:graphic>
          </wp:inline>
        </w:drawing>
      </w:r>
    </w:p>
    <w:p w14:paraId="362C381D" w14:textId="77777777" w:rsidR="00D50EC6" w:rsidRDefault="00D50EC6">
      <w:pPr>
        <w:jc w:val="center"/>
      </w:pPr>
    </w:p>
    <w:p w14:paraId="59717757" w14:textId="77777777" w:rsidR="00D50EC6" w:rsidRDefault="00D50EC6">
      <w:pPr>
        <w:jc w:val="center"/>
      </w:pPr>
    </w:p>
    <w:p w14:paraId="70FC3765" w14:textId="77777777" w:rsidR="00D50EC6" w:rsidRDefault="00D50EC6">
      <w:pPr>
        <w:jc w:val="center"/>
      </w:pPr>
    </w:p>
    <w:p w14:paraId="16E60206" w14:textId="77777777" w:rsidR="00D50EC6" w:rsidRDefault="00D50EC6">
      <w:pPr>
        <w:jc w:val="center"/>
      </w:pPr>
    </w:p>
    <w:p w14:paraId="10E85C0D" w14:textId="77777777" w:rsidR="00D50EC6" w:rsidRDefault="00000000">
      <w:pPr>
        <w:pStyle w:val="Title"/>
        <w:jc w:val="center"/>
      </w:pPr>
      <w:r>
        <w:rPr>
          <w:color w:val="0F4761"/>
          <w:sz w:val="72"/>
        </w:rPr>
        <w:t>Sales Collateral – Metrics</w:t>
      </w:r>
    </w:p>
    <w:p w14:paraId="3D201738" w14:textId="77777777" w:rsidR="00D50EC6" w:rsidRDefault="00D50EC6">
      <w:pPr>
        <w:jc w:val="center"/>
      </w:pPr>
    </w:p>
    <w:p w14:paraId="62ACC1FE" w14:textId="0E641599" w:rsidR="00C85262" w:rsidRDefault="00000000">
      <w:pPr>
        <w:pStyle w:val="Title"/>
        <w:jc w:val="center"/>
        <w:rPr>
          <w:color w:val="0F4761"/>
          <w:sz w:val="72"/>
        </w:rPr>
      </w:pPr>
      <w:r>
        <w:rPr>
          <w:color w:val="0F4761"/>
          <w:sz w:val="72"/>
        </w:rPr>
        <w:t>TCO Comparison</w:t>
      </w:r>
    </w:p>
    <w:p w14:paraId="1327978A" w14:textId="56179B46" w:rsidR="00D50EC6" w:rsidRDefault="00000000">
      <w:pPr>
        <w:pStyle w:val="Title"/>
        <w:jc w:val="center"/>
      </w:pPr>
      <w:r>
        <w:rPr>
          <w:color w:val="0F4761"/>
          <w:sz w:val="72"/>
        </w:rPr>
        <w:t>Legacy vs. Snowflake Data Cloud</w:t>
      </w:r>
    </w:p>
    <w:p w14:paraId="70ED3497" w14:textId="77777777" w:rsidR="00D50EC6" w:rsidRDefault="00D50EC6"/>
    <w:p w14:paraId="57076C2E" w14:textId="77777777" w:rsidR="00D50EC6" w:rsidRDefault="00D50EC6"/>
    <w:p w14:paraId="52CE0D22" w14:textId="77777777" w:rsidR="00D50EC6" w:rsidRDefault="00D50EC6"/>
    <w:p w14:paraId="45DAA4D2" w14:textId="77777777" w:rsidR="00D50EC6" w:rsidRDefault="00D50EC6"/>
    <w:p w14:paraId="6FF1F376" w14:textId="77777777" w:rsidR="00D50EC6" w:rsidRDefault="00D50EC6"/>
    <w:p w14:paraId="3015FAA4" w14:textId="77777777" w:rsidR="00D50EC6" w:rsidRDefault="00D50EC6"/>
    <w:p w14:paraId="563D3A52" w14:textId="77777777" w:rsidR="00D50EC6" w:rsidRDefault="00000000">
      <w:pPr>
        <w:jc w:val="center"/>
      </w:pPr>
      <w:r>
        <w:rPr>
          <w:b/>
          <w:color w:val="0F4761"/>
          <w:sz w:val="28"/>
        </w:rPr>
        <w:t>Mastech Digital – Snowflake Practice</w:t>
      </w:r>
    </w:p>
    <w:p w14:paraId="05F34657" w14:textId="77777777" w:rsidR="00D50EC6" w:rsidRDefault="00000000">
      <w:pPr>
        <w:jc w:val="center"/>
        <w:rPr>
          <w:color w:val="595959"/>
        </w:rPr>
      </w:pPr>
      <w:r>
        <w:rPr>
          <w:color w:val="595959"/>
        </w:rPr>
        <w:t>2026</w:t>
      </w:r>
    </w:p>
    <w:p w14:paraId="084785A8" w14:textId="77777777" w:rsidR="00655653" w:rsidRDefault="00655653">
      <w:pPr>
        <w:jc w:val="center"/>
        <w:rPr>
          <w:color w:val="595959"/>
        </w:rPr>
      </w:pPr>
    </w:p>
    <w:p w14:paraId="1FBD36ED" w14:textId="77777777" w:rsidR="00655653" w:rsidRDefault="00655653">
      <w:pPr>
        <w:jc w:val="center"/>
        <w:rPr>
          <w:color w:val="595959"/>
        </w:rPr>
      </w:pPr>
    </w:p>
    <w:p w14:paraId="0D37F7CE" w14:textId="77777777" w:rsidR="00655653" w:rsidRDefault="00655653">
      <w:pPr>
        <w:jc w:val="center"/>
      </w:pPr>
    </w:p>
    <w:sdt>
      <w:sdtPr>
        <w:id w:val="-1491864686"/>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2671D8F3" w14:textId="2D9F6A32" w:rsidR="00655653" w:rsidRDefault="00655653" w:rsidP="0011090A">
          <w:pPr>
            <w:pStyle w:val="TOCHeading"/>
            <w:jc w:val="center"/>
          </w:pPr>
          <w:r>
            <w:t>Table of Contents</w:t>
          </w:r>
        </w:p>
        <w:p w14:paraId="5DED7F6A" w14:textId="4E6803C9" w:rsidR="00AD2C40" w:rsidRDefault="00655653">
          <w:pPr>
            <w:pStyle w:val="TOC1"/>
            <w:tabs>
              <w:tab w:val="right" w:leader="dot" w:pos="9016"/>
            </w:tabs>
            <w:rPr>
              <w:rFonts w:eastAsiaTheme="minorEastAsia"/>
              <w:noProof/>
              <w:lang w:eastAsia="en-IN"/>
            </w:rPr>
          </w:pPr>
          <w:r>
            <w:fldChar w:fldCharType="begin"/>
          </w:r>
          <w:r>
            <w:instrText xml:space="preserve"> TOC \o "1-3" \h \z \u </w:instrText>
          </w:r>
          <w:r>
            <w:fldChar w:fldCharType="separate"/>
          </w:r>
          <w:hyperlink w:anchor="_Toc221636158" w:history="1">
            <w:r w:rsidR="00AD2C40" w:rsidRPr="006D2185">
              <w:rPr>
                <w:rStyle w:val="Hyperlink"/>
                <w:noProof/>
              </w:rPr>
              <w:t>1. Executive Summary</w:t>
            </w:r>
            <w:r w:rsidR="00AD2C40">
              <w:rPr>
                <w:noProof/>
                <w:webHidden/>
              </w:rPr>
              <w:tab/>
            </w:r>
            <w:r w:rsidR="00AD2C40">
              <w:rPr>
                <w:noProof/>
                <w:webHidden/>
              </w:rPr>
              <w:fldChar w:fldCharType="begin"/>
            </w:r>
            <w:r w:rsidR="00AD2C40">
              <w:rPr>
                <w:noProof/>
                <w:webHidden/>
              </w:rPr>
              <w:instrText xml:space="preserve"> PAGEREF _Toc221636158 \h </w:instrText>
            </w:r>
            <w:r w:rsidR="00AD2C40">
              <w:rPr>
                <w:noProof/>
                <w:webHidden/>
              </w:rPr>
            </w:r>
            <w:r w:rsidR="00AD2C40">
              <w:rPr>
                <w:noProof/>
                <w:webHidden/>
              </w:rPr>
              <w:fldChar w:fldCharType="separate"/>
            </w:r>
            <w:r w:rsidR="00AD2C40">
              <w:rPr>
                <w:noProof/>
                <w:webHidden/>
              </w:rPr>
              <w:t>3</w:t>
            </w:r>
            <w:r w:rsidR="00AD2C40">
              <w:rPr>
                <w:noProof/>
                <w:webHidden/>
              </w:rPr>
              <w:fldChar w:fldCharType="end"/>
            </w:r>
          </w:hyperlink>
        </w:p>
        <w:p w14:paraId="7B3DF5AC" w14:textId="71F9B6E7" w:rsidR="00AD2C40" w:rsidRDefault="00AD2C40">
          <w:pPr>
            <w:pStyle w:val="TOC1"/>
            <w:tabs>
              <w:tab w:val="right" w:leader="dot" w:pos="9016"/>
            </w:tabs>
            <w:rPr>
              <w:rFonts w:eastAsiaTheme="minorEastAsia"/>
              <w:noProof/>
              <w:lang w:eastAsia="en-IN"/>
            </w:rPr>
          </w:pPr>
          <w:hyperlink w:anchor="_Toc221636159" w:history="1">
            <w:r w:rsidRPr="006D2185">
              <w:rPr>
                <w:rStyle w:val="Hyperlink"/>
                <w:noProof/>
              </w:rPr>
              <w:t>2. Cost Categories Framework</w:t>
            </w:r>
            <w:r>
              <w:rPr>
                <w:noProof/>
                <w:webHidden/>
              </w:rPr>
              <w:tab/>
            </w:r>
            <w:r>
              <w:rPr>
                <w:noProof/>
                <w:webHidden/>
              </w:rPr>
              <w:fldChar w:fldCharType="begin"/>
            </w:r>
            <w:r>
              <w:rPr>
                <w:noProof/>
                <w:webHidden/>
              </w:rPr>
              <w:instrText xml:space="preserve"> PAGEREF _Toc221636159 \h </w:instrText>
            </w:r>
            <w:r>
              <w:rPr>
                <w:noProof/>
                <w:webHidden/>
              </w:rPr>
            </w:r>
            <w:r>
              <w:rPr>
                <w:noProof/>
                <w:webHidden/>
              </w:rPr>
              <w:fldChar w:fldCharType="separate"/>
            </w:r>
            <w:r>
              <w:rPr>
                <w:noProof/>
                <w:webHidden/>
              </w:rPr>
              <w:t>3</w:t>
            </w:r>
            <w:r>
              <w:rPr>
                <w:noProof/>
                <w:webHidden/>
              </w:rPr>
              <w:fldChar w:fldCharType="end"/>
            </w:r>
          </w:hyperlink>
        </w:p>
        <w:p w14:paraId="1306C478" w14:textId="2B0133E5" w:rsidR="00AD2C40" w:rsidRDefault="00AD2C40">
          <w:pPr>
            <w:pStyle w:val="TOC1"/>
            <w:tabs>
              <w:tab w:val="right" w:leader="dot" w:pos="9016"/>
            </w:tabs>
            <w:rPr>
              <w:rFonts w:eastAsiaTheme="minorEastAsia"/>
              <w:noProof/>
              <w:lang w:eastAsia="en-IN"/>
            </w:rPr>
          </w:pPr>
          <w:hyperlink w:anchor="_Toc221636160" w:history="1">
            <w:r w:rsidRPr="006D2185">
              <w:rPr>
                <w:rStyle w:val="Hyperlink"/>
                <w:noProof/>
              </w:rPr>
              <w:t>3. Legacy Platform Cost Analysis</w:t>
            </w:r>
            <w:r>
              <w:rPr>
                <w:noProof/>
                <w:webHidden/>
              </w:rPr>
              <w:tab/>
            </w:r>
            <w:r>
              <w:rPr>
                <w:noProof/>
                <w:webHidden/>
              </w:rPr>
              <w:fldChar w:fldCharType="begin"/>
            </w:r>
            <w:r>
              <w:rPr>
                <w:noProof/>
                <w:webHidden/>
              </w:rPr>
              <w:instrText xml:space="preserve"> PAGEREF _Toc221636160 \h </w:instrText>
            </w:r>
            <w:r>
              <w:rPr>
                <w:noProof/>
                <w:webHidden/>
              </w:rPr>
            </w:r>
            <w:r>
              <w:rPr>
                <w:noProof/>
                <w:webHidden/>
              </w:rPr>
              <w:fldChar w:fldCharType="separate"/>
            </w:r>
            <w:r>
              <w:rPr>
                <w:noProof/>
                <w:webHidden/>
              </w:rPr>
              <w:t>4</w:t>
            </w:r>
            <w:r>
              <w:rPr>
                <w:noProof/>
                <w:webHidden/>
              </w:rPr>
              <w:fldChar w:fldCharType="end"/>
            </w:r>
          </w:hyperlink>
        </w:p>
        <w:p w14:paraId="05ABE22D" w14:textId="2DE01D74" w:rsidR="00AD2C40" w:rsidRDefault="00AD2C40">
          <w:pPr>
            <w:pStyle w:val="TOC2"/>
            <w:tabs>
              <w:tab w:val="right" w:leader="dot" w:pos="9016"/>
            </w:tabs>
            <w:rPr>
              <w:rFonts w:eastAsiaTheme="minorEastAsia"/>
              <w:noProof/>
              <w:lang w:eastAsia="en-IN"/>
            </w:rPr>
          </w:pPr>
          <w:hyperlink w:anchor="_Toc221636161" w:history="1">
            <w:r w:rsidRPr="006D2185">
              <w:rPr>
                <w:rStyle w:val="Hyperlink"/>
                <w:noProof/>
              </w:rPr>
              <w:t>3.1 Teradata</w:t>
            </w:r>
            <w:r>
              <w:rPr>
                <w:noProof/>
                <w:webHidden/>
              </w:rPr>
              <w:tab/>
            </w:r>
            <w:r>
              <w:rPr>
                <w:noProof/>
                <w:webHidden/>
              </w:rPr>
              <w:fldChar w:fldCharType="begin"/>
            </w:r>
            <w:r>
              <w:rPr>
                <w:noProof/>
                <w:webHidden/>
              </w:rPr>
              <w:instrText xml:space="preserve"> PAGEREF _Toc221636161 \h </w:instrText>
            </w:r>
            <w:r>
              <w:rPr>
                <w:noProof/>
                <w:webHidden/>
              </w:rPr>
            </w:r>
            <w:r>
              <w:rPr>
                <w:noProof/>
                <w:webHidden/>
              </w:rPr>
              <w:fldChar w:fldCharType="separate"/>
            </w:r>
            <w:r>
              <w:rPr>
                <w:noProof/>
                <w:webHidden/>
              </w:rPr>
              <w:t>4</w:t>
            </w:r>
            <w:r>
              <w:rPr>
                <w:noProof/>
                <w:webHidden/>
              </w:rPr>
              <w:fldChar w:fldCharType="end"/>
            </w:r>
          </w:hyperlink>
        </w:p>
        <w:p w14:paraId="2E107CC4" w14:textId="0B86EE71" w:rsidR="00AD2C40" w:rsidRDefault="00AD2C40">
          <w:pPr>
            <w:pStyle w:val="TOC2"/>
            <w:tabs>
              <w:tab w:val="right" w:leader="dot" w:pos="9016"/>
            </w:tabs>
            <w:rPr>
              <w:rFonts w:eastAsiaTheme="minorEastAsia"/>
              <w:noProof/>
              <w:lang w:eastAsia="en-IN"/>
            </w:rPr>
          </w:pPr>
          <w:hyperlink w:anchor="_Toc221636162" w:history="1">
            <w:r w:rsidRPr="006D2185">
              <w:rPr>
                <w:rStyle w:val="Hyperlink"/>
                <w:noProof/>
              </w:rPr>
              <w:t>3.2 Hadoop/Cloudera</w:t>
            </w:r>
            <w:r>
              <w:rPr>
                <w:noProof/>
                <w:webHidden/>
              </w:rPr>
              <w:tab/>
            </w:r>
            <w:r>
              <w:rPr>
                <w:noProof/>
                <w:webHidden/>
              </w:rPr>
              <w:fldChar w:fldCharType="begin"/>
            </w:r>
            <w:r>
              <w:rPr>
                <w:noProof/>
                <w:webHidden/>
              </w:rPr>
              <w:instrText xml:space="preserve"> PAGEREF _Toc221636162 \h </w:instrText>
            </w:r>
            <w:r>
              <w:rPr>
                <w:noProof/>
                <w:webHidden/>
              </w:rPr>
            </w:r>
            <w:r>
              <w:rPr>
                <w:noProof/>
                <w:webHidden/>
              </w:rPr>
              <w:fldChar w:fldCharType="separate"/>
            </w:r>
            <w:r>
              <w:rPr>
                <w:noProof/>
                <w:webHidden/>
              </w:rPr>
              <w:t>5</w:t>
            </w:r>
            <w:r>
              <w:rPr>
                <w:noProof/>
                <w:webHidden/>
              </w:rPr>
              <w:fldChar w:fldCharType="end"/>
            </w:r>
          </w:hyperlink>
        </w:p>
        <w:p w14:paraId="498F2952" w14:textId="18AE982C" w:rsidR="00AD2C40" w:rsidRDefault="00AD2C40">
          <w:pPr>
            <w:pStyle w:val="TOC2"/>
            <w:tabs>
              <w:tab w:val="right" w:leader="dot" w:pos="9016"/>
            </w:tabs>
            <w:rPr>
              <w:rFonts w:eastAsiaTheme="minorEastAsia"/>
              <w:noProof/>
              <w:lang w:eastAsia="en-IN"/>
            </w:rPr>
          </w:pPr>
          <w:hyperlink w:anchor="_Toc221636163" w:history="1">
            <w:r w:rsidRPr="006D2185">
              <w:rPr>
                <w:rStyle w:val="Hyperlink"/>
                <w:noProof/>
              </w:rPr>
              <w:t>3.3 Oracle Exadata</w:t>
            </w:r>
            <w:r>
              <w:rPr>
                <w:noProof/>
                <w:webHidden/>
              </w:rPr>
              <w:tab/>
            </w:r>
            <w:r>
              <w:rPr>
                <w:noProof/>
                <w:webHidden/>
              </w:rPr>
              <w:fldChar w:fldCharType="begin"/>
            </w:r>
            <w:r>
              <w:rPr>
                <w:noProof/>
                <w:webHidden/>
              </w:rPr>
              <w:instrText xml:space="preserve"> PAGEREF _Toc221636163 \h </w:instrText>
            </w:r>
            <w:r>
              <w:rPr>
                <w:noProof/>
                <w:webHidden/>
              </w:rPr>
            </w:r>
            <w:r>
              <w:rPr>
                <w:noProof/>
                <w:webHidden/>
              </w:rPr>
              <w:fldChar w:fldCharType="separate"/>
            </w:r>
            <w:r>
              <w:rPr>
                <w:noProof/>
                <w:webHidden/>
              </w:rPr>
              <w:t>5</w:t>
            </w:r>
            <w:r>
              <w:rPr>
                <w:noProof/>
                <w:webHidden/>
              </w:rPr>
              <w:fldChar w:fldCharType="end"/>
            </w:r>
          </w:hyperlink>
        </w:p>
        <w:p w14:paraId="1430F886" w14:textId="00D491E9" w:rsidR="00AD2C40" w:rsidRDefault="00AD2C40">
          <w:pPr>
            <w:pStyle w:val="TOC2"/>
            <w:tabs>
              <w:tab w:val="right" w:leader="dot" w:pos="9016"/>
            </w:tabs>
            <w:rPr>
              <w:rFonts w:eastAsiaTheme="minorEastAsia"/>
              <w:noProof/>
              <w:lang w:eastAsia="en-IN"/>
            </w:rPr>
          </w:pPr>
          <w:hyperlink w:anchor="_Toc221636164" w:history="1">
            <w:r w:rsidRPr="006D2185">
              <w:rPr>
                <w:rStyle w:val="Hyperlink"/>
                <w:noProof/>
              </w:rPr>
              <w:t>3.4 Informatica</w:t>
            </w:r>
            <w:r>
              <w:rPr>
                <w:noProof/>
                <w:webHidden/>
              </w:rPr>
              <w:tab/>
            </w:r>
            <w:r>
              <w:rPr>
                <w:noProof/>
                <w:webHidden/>
              </w:rPr>
              <w:fldChar w:fldCharType="begin"/>
            </w:r>
            <w:r>
              <w:rPr>
                <w:noProof/>
                <w:webHidden/>
              </w:rPr>
              <w:instrText xml:space="preserve"> PAGEREF _Toc221636164 \h </w:instrText>
            </w:r>
            <w:r>
              <w:rPr>
                <w:noProof/>
                <w:webHidden/>
              </w:rPr>
            </w:r>
            <w:r>
              <w:rPr>
                <w:noProof/>
                <w:webHidden/>
              </w:rPr>
              <w:fldChar w:fldCharType="separate"/>
            </w:r>
            <w:r>
              <w:rPr>
                <w:noProof/>
                <w:webHidden/>
              </w:rPr>
              <w:t>6</w:t>
            </w:r>
            <w:r>
              <w:rPr>
                <w:noProof/>
                <w:webHidden/>
              </w:rPr>
              <w:fldChar w:fldCharType="end"/>
            </w:r>
          </w:hyperlink>
        </w:p>
        <w:p w14:paraId="35BAD5F7" w14:textId="503807C8" w:rsidR="00AD2C40" w:rsidRDefault="00AD2C40">
          <w:pPr>
            <w:pStyle w:val="TOC2"/>
            <w:tabs>
              <w:tab w:val="right" w:leader="dot" w:pos="9016"/>
            </w:tabs>
            <w:rPr>
              <w:rFonts w:eastAsiaTheme="minorEastAsia"/>
              <w:noProof/>
              <w:lang w:eastAsia="en-IN"/>
            </w:rPr>
          </w:pPr>
          <w:hyperlink w:anchor="_Toc221636165" w:history="1">
            <w:r w:rsidRPr="006D2185">
              <w:rPr>
                <w:rStyle w:val="Hyperlink"/>
                <w:noProof/>
              </w:rPr>
              <w:t>3.5 SAS</w:t>
            </w:r>
            <w:r>
              <w:rPr>
                <w:noProof/>
                <w:webHidden/>
              </w:rPr>
              <w:tab/>
            </w:r>
            <w:r>
              <w:rPr>
                <w:noProof/>
                <w:webHidden/>
              </w:rPr>
              <w:fldChar w:fldCharType="begin"/>
            </w:r>
            <w:r>
              <w:rPr>
                <w:noProof/>
                <w:webHidden/>
              </w:rPr>
              <w:instrText xml:space="preserve"> PAGEREF _Toc221636165 \h </w:instrText>
            </w:r>
            <w:r>
              <w:rPr>
                <w:noProof/>
                <w:webHidden/>
              </w:rPr>
            </w:r>
            <w:r>
              <w:rPr>
                <w:noProof/>
                <w:webHidden/>
              </w:rPr>
              <w:fldChar w:fldCharType="separate"/>
            </w:r>
            <w:r>
              <w:rPr>
                <w:noProof/>
                <w:webHidden/>
              </w:rPr>
              <w:t>6</w:t>
            </w:r>
            <w:r>
              <w:rPr>
                <w:noProof/>
                <w:webHidden/>
              </w:rPr>
              <w:fldChar w:fldCharType="end"/>
            </w:r>
          </w:hyperlink>
        </w:p>
        <w:p w14:paraId="5BAF41CA" w14:textId="67A95B4E" w:rsidR="00AD2C40" w:rsidRDefault="00AD2C40">
          <w:pPr>
            <w:pStyle w:val="TOC2"/>
            <w:tabs>
              <w:tab w:val="right" w:leader="dot" w:pos="9016"/>
            </w:tabs>
            <w:rPr>
              <w:rFonts w:eastAsiaTheme="minorEastAsia"/>
              <w:noProof/>
              <w:lang w:eastAsia="en-IN"/>
            </w:rPr>
          </w:pPr>
          <w:hyperlink w:anchor="_Toc221636166" w:history="1">
            <w:r w:rsidRPr="006D2185">
              <w:rPr>
                <w:rStyle w:val="Hyperlink"/>
                <w:noProof/>
              </w:rPr>
              <w:t>3.6 SSIS (SQL Server Integration Services)</w:t>
            </w:r>
            <w:r>
              <w:rPr>
                <w:noProof/>
                <w:webHidden/>
              </w:rPr>
              <w:tab/>
            </w:r>
            <w:r>
              <w:rPr>
                <w:noProof/>
                <w:webHidden/>
              </w:rPr>
              <w:fldChar w:fldCharType="begin"/>
            </w:r>
            <w:r>
              <w:rPr>
                <w:noProof/>
                <w:webHidden/>
              </w:rPr>
              <w:instrText xml:space="preserve"> PAGEREF _Toc221636166 \h </w:instrText>
            </w:r>
            <w:r>
              <w:rPr>
                <w:noProof/>
                <w:webHidden/>
              </w:rPr>
            </w:r>
            <w:r>
              <w:rPr>
                <w:noProof/>
                <w:webHidden/>
              </w:rPr>
              <w:fldChar w:fldCharType="separate"/>
            </w:r>
            <w:r>
              <w:rPr>
                <w:noProof/>
                <w:webHidden/>
              </w:rPr>
              <w:t>6</w:t>
            </w:r>
            <w:r>
              <w:rPr>
                <w:noProof/>
                <w:webHidden/>
              </w:rPr>
              <w:fldChar w:fldCharType="end"/>
            </w:r>
          </w:hyperlink>
        </w:p>
        <w:p w14:paraId="6D7BD326" w14:textId="6CFC72D7" w:rsidR="00AD2C40" w:rsidRDefault="00AD2C40">
          <w:pPr>
            <w:pStyle w:val="TOC1"/>
            <w:tabs>
              <w:tab w:val="right" w:leader="dot" w:pos="9016"/>
            </w:tabs>
            <w:rPr>
              <w:rFonts w:eastAsiaTheme="minorEastAsia"/>
              <w:noProof/>
              <w:lang w:eastAsia="en-IN"/>
            </w:rPr>
          </w:pPr>
          <w:hyperlink w:anchor="_Toc221636167" w:history="1">
            <w:r w:rsidRPr="006D2185">
              <w:rPr>
                <w:rStyle w:val="Hyperlink"/>
                <w:noProof/>
              </w:rPr>
              <w:t>4. Databricks Lakehouse Cost Profile</w:t>
            </w:r>
            <w:r>
              <w:rPr>
                <w:noProof/>
                <w:webHidden/>
              </w:rPr>
              <w:tab/>
            </w:r>
            <w:r>
              <w:rPr>
                <w:noProof/>
                <w:webHidden/>
              </w:rPr>
              <w:fldChar w:fldCharType="begin"/>
            </w:r>
            <w:r>
              <w:rPr>
                <w:noProof/>
                <w:webHidden/>
              </w:rPr>
              <w:instrText xml:space="preserve"> PAGEREF _Toc221636167 \h </w:instrText>
            </w:r>
            <w:r>
              <w:rPr>
                <w:noProof/>
                <w:webHidden/>
              </w:rPr>
            </w:r>
            <w:r>
              <w:rPr>
                <w:noProof/>
                <w:webHidden/>
              </w:rPr>
              <w:fldChar w:fldCharType="separate"/>
            </w:r>
            <w:r>
              <w:rPr>
                <w:noProof/>
                <w:webHidden/>
              </w:rPr>
              <w:t>7</w:t>
            </w:r>
            <w:r>
              <w:rPr>
                <w:noProof/>
                <w:webHidden/>
              </w:rPr>
              <w:fldChar w:fldCharType="end"/>
            </w:r>
          </w:hyperlink>
        </w:p>
        <w:p w14:paraId="426040CE" w14:textId="2D3BF03B" w:rsidR="00AD2C40" w:rsidRDefault="00AD2C40">
          <w:pPr>
            <w:pStyle w:val="TOC2"/>
            <w:tabs>
              <w:tab w:val="right" w:leader="dot" w:pos="9016"/>
            </w:tabs>
            <w:rPr>
              <w:rFonts w:eastAsiaTheme="minorEastAsia"/>
              <w:noProof/>
              <w:lang w:eastAsia="en-IN"/>
            </w:rPr>
          </w:pPr>
          <w:hyperlink w:anchor="_Toc221636168" w:history="1">
            <w:r w:rsidRPr="006D2185">
              <w:rPr>
                <w:rStyle w:val="Hyperlink"/>
                <w:noProof/>
              </w:rPr>
              <w:t>4.1 Serverless Compute</w:t>
            </w:r>
            <w:r>
              <w:rPr>
                <w:noProof/>
                <w:webHidden/>
              </w:rPr>
              <w:tab/>
            </w:r>
            <w:r>
              <w:rPr>
                <w:noProof/>
                <w:webHidden/>
              </w:rPr>
              <w:fldChar w:fldCharType="begin"/>
            </w:r>
            <w:r>
              <w:rPr>
                <w:noProof/>
                <w:webHidden/>
              </w:rPr>
              <w:instrText xml:space="preserve"> PAGEREF _Toc221636168 \h </w:instrText>
            </w:r>
            <w:r>
              <w:rPr>
                <w:noProof/>
                <w:webHidden/>
              </w:rPr>
            </w:r>
            <w:r>
              <w:rPr>
                <w:noProof/>
                <w:webHidden/>
              </w:rPr>
              <w:fldChar w:fldCharType="separate"/>
            </w:r>
            <w:r>
              <w:rPr>
                <w:noProof/>
                <w:webHidden/>
              </w:rPr>
              <w:t>7</w:t>
            </w:r>
            <w:r>
              <w:rPr>
                <w:noProof/>
                <w:webHidden/>
              </w:rPr>
              <w:fldChar w:fldCharType="end"/>
            </w:r>
          </w:hyperlink>
        </w:p>
        <w:p w14:paraId="01A2FD2D" w14:textId="79E0A140" w:rsidR="00AD2C40" w:rsidRDefault="00AD2C40">
          <w:pPr>
            <w:pStyle w:val="TOC2"/>
            <w:tabs>
              <w:tab w:val="right" w:leader="dot" w:pos="9016"/>
            </w:tabs>
            <w:rPr>
              <w:rFonts w:eastAsiaTheme="minorEastAsia"/>
              <w:noProof/>
              <w:lang w:eastAsia="en-IN"/>
            </w:rPr>
          </w:pPr>
          <w:hyperlink w:anchor="_Toc221636169" w:history="1">
            <w:r w:rsidRPr="006D2185">
              <w:rPr>
                <w:rStyle w:val="Hyperlink"/>
                <w:noProof/>
              </w:rPr>
              <w:t>4.2 Open Format Storage (Delta Lake)</w:t>
            </w:r>
            <w:r>
              <w:rPr>
                <w:noProof/>
                <w:webHidden/>
              </w:rPr>
              <w:tab/>
            </w:r>
            <w:r>
              <w:rPr>
                <w:noProof/>
                <w:webHidden/>
              </w:rPr>
              <w:fldChar w:fldCharType="begin"/>
            </w:r>
            <w:r>
              <w:rPr>
                <w:noProof/>
                <w:webHidden/>
              </w:rPr>
              <w:instrText xml:space="preserve"> PAGEREF _Toc221636169 \h </w:instrText>
            </w:r>
            <w:r>
              <w:rPr>
                <w:noProof/>
                <w:webHidden/>
              </w:rPr>
            </w:r>
            <w:r>
              <w:rPr>
                <w:noProof/>
                <w:webHidden/>
              </w:rPr>
              <w:fldChar w:fldCharType="separate"/>
            </w:r>
            <w:r>
              <w:rPr>
                <w:noProof/>
                <w:webHidden/>
              </w:rPr>
              <w:t>7</w:t>
            </w:r>
            <w:r>
              <w:rPr>
                <w:noProof/>
                <w:webHidden/>
              </w:rPr>
              <w:fldChar w:fldCharType="end"/>
            </w:r>
          </w:hyperlink>
        </w:p>
        <w:p w14:paraId="64D74EC2" w14:textId="74C76E93" w:rsidR="00AD2C40" w:rsidRDefault="00AD2C40">
          <w:pPr>
            <w:pStyle w:val="TOC2"/>
            <w:tabs>
              <w:tab w:val="right" w:leader="dot" w:pos="9016"/>
            </w:tabs>
            <w:rPr>
              <w:rFonts w:eastAsiaTheme="minorEastAsia"/>
              <w:noProof/>
              <w:lang w:eastAsia="en-IN"/>
            </w:rPr>
          </w:pPr>
          <w:hyperlink w:anchor="_Toc221636170" w:history="1">
            <w:r w:rsidRPr="006D2185">
              <w:rPr>
                <w:rStyle w:val="Hyperlink"/>
                <w:noProof/>
              </w:rPr>
              <w:t>4.3 Unified Platform Economics</w:t>
            </w:r>
            <w:r>
              <w:rPr>
                <w:noProof/>
                <w:webHidden/>
              </w:rPr>
              <w:tab/>
            </w:r>
            <w:r>
              <w:rPr>
                <w:noProof/>
                <w:webHidden/>
              </w:rPr>
              <w:fldChar w:fldCharType="begin"/>
            </w:r>
            <w:r>
              <w:rPr>
                <w:noProof/>
                <w:webHidden/>
              </w:rPr>
              <w:instrText xml:space="preserve"> PAGEREF _Toc221636170 \h </w:instrText>
            </w:r>
            <w:r>
              <w:rPr>
                <w:noProof/>
                <w:webHidden/>
              </w:rPr>
            </w:r>
            <w:r>
              <w:rPr>
                <w:noProof/>
                <w:webHidden/>
              </w:rPr>
              <w:fldChar w:fldCharType="separate"/>
            </w:r>
            <w:r>
              <w:rPr>
                <w:noProof/>
                <w:webHidden/>
              </w:rPr>
              <w:t>8</w:t>
            </w:r>
            <w:r>
              <w:rPr>
                <w:noProof/>
                <w:webHidden/>
              </w:rPr>
              <w:fldChar w:fldCharType="end"/>
            </w:r>
          </w:hyperlink>
        </w:p>
        <w:p w14:paraId="32F55726" w14:textId="25743A82" w:rsidR="00AD2C40" w:rsidRDefault="00AD2C40">
          <w:pPr>
            <w:pStyle w:val="TOC1"/>
            <w:tabs>
              <w:tab w:val="right" w:leader="dot" w:pos="9016"/>
            </w:tabs>
            <w:rPr>
              <w:rFonts w:eastAsiaTheme="minorEastAsia"/>
              <w:noProof/>
              <w:lang w:eastAsia="en-IN"/>
            </w:rPr>
          </w:pPr>
          <w:hyperlink w:anchor="_Toc221636171" w:history="1">
            <w:r w:rsidRPr="006D2185">
              <w:rPr>
                <w:rStyle w:val="Hyperlink"/>
                <w:noProof/>
              </w:rPr>
              <w:t>5. Head-to-Head 3-Year TCO Comparison</w:t>
            </w:r>
            <w:r>
              <w:rPr>
                <w:noProof/>
                <w:webHidden/>
              </w:rPr>
              <w:tab/>
            </w:r>
            <w:r>
              <w:rPr>
                <w:noProof/>
                <w:webHidden/>
              </w:rPr>
              <w:fldChar w:fldCharType="begin"/>
            </w:r>
            <w:r>
              <w:rPr>
                <w:noProof/>
                <w:webHidden/>
              </w:rPr>
              <w:instrText xml:space="preserve"> PAGEREF _Toc221636171 \h </w:instrText>
            </w:r>
            <w:r>
              <w:rPr>
                <w:noProof/>
                <w:webHidden/>
              </w:rPr>
            </w:r>
            <w:r>
              <w:rPr>
                <w:noProof/>
                <w:webHidden/>
              </w:rPr>
              <w:fldChar w:fldCharType="separate"/>
            </w:r>
            <w:r>
              <w:rPr>
                <w:noProof/>
                <w:webHidden/>
              </w:rPr>
              <w:t>8</w:t>
            </w:r>
            <w:r>
              <w:rPr>
                <w:noProof/>
                <w:webHidden/>
              </w:rPr>
              <w:fldChar w:fldCharType="end"/>
            </w:r>
          </w:hyperlink>
        </w:p>
        <w:p w14:paraId="091D169D" w14:textId="3C0790CF" w:rsidR="00AD2C40" w:rsidRDefault="00AD2C40">
          <w:pPr>
            <w:pStyle w:val="TOC2"/>
            <w:tabs>
              <w:tab w:val="right" w:leader="dot" w:pos="9016"/>
            </w:tabs>
            <w:rPr>
              <w:rFonts w:eastAsiaTheme="minorEastAsia"/>
              <w:noProof/>
              <w:lang w:eastAsia="en-IN"/>
            </w:rPr>
          </w:pPr>
          <w:hyperlink w:anchor="_Toc221636172" w:history="1">
            <w:r w:rsidRPr="006D2185">
              <w:rPr>
                <w:rStyle w:val="Hyperlink"/>
                <w:noProof/>
              </w:rPr>
              <w:t>5.1 Cost Category Comparison</w:t>
            </w:r>
            <w:r>
              <w:rPr>
                <w:noProof/>
                <w:webHidden/>
              </w:rPr>
              <w:tab/>
            </w:r>
            <w:r>
              <w:rPr>
                <w:noProof/>
                <w:webHidden/>
              </w:rPr>
              <w:fldChar w:fldCharType="begin"/>
            </w:r>
            <w:r>
              <w:rPr>
                <w:noProof/>
                <w:webHidden/>
              </w:rPr>
              <w:instrText xml:space="preserve"> PAGEREF _Toc221636172 \h </w:instrText>
            </w:r>
            <w:r>
              <w:rPr>
                <w:noProof/>
                <w:webHidden/>
              </w:rPr>
            </w:r>
            <w:r>
              <w:rPr>
                <w:noProof/>
                <w:webHidden/>
              </w:rPr>
              <w:fldChar w:fldCharType="separate"/>
            </w:r>
            <w:r>
              <w:rPr>
                <w:noProof/>
                <w:webHidden/>
              </w:rPr>
              <w:t>8</w:t>
            </w:r>
            <w:r>
              <w:rPr>
                <w:noProof/>
                <w:webHidden/>
              </w:rPr>
              <w:fldChar w:fldCharType="end"/>
            </w:r>
          </w:hyperlink>
        </w:p>
        <w:p w14:paraId="3BF9354A" w14:textId="25669826" w:rsidR="00AD2C40" w:rsidRDefault="00AD2C40">
          <w:pPr>
            <w:pStyle w:val="TOC2"/>
            <w:tabs>
              <w:tab w:val="right" w:leader="dot" w:pos="9016"/>
            </w:tabs>
            <w:rPr>
              <w:rFonts w:eastAsiaTheme="minorEastAsia"/>
              <w:noProof/>
              <w:lang w:eastAsia="en-IN"/>
            </w:rPr>
          </w:pPr>
          <w:hyperlink w:anchor="_Toc221636173" w:history="1">
            <w:r w:rsidRPr="006D2185">
              <w:rPr>
                <w:rStyle w:val="Hyperlink"/>
                <w:noProof/>
              </w:rPr>
              <w:t>5.2 Aggregate 3-Year TCO Summary</w:t>
            </w:r>
            <w:r>
              <w:rPr>
                <w:noProof/>
                <w:webHidden/>
              </w:rPr>
              <w:tab/>
            </w:r>
            <w:r>
              <w:rPr>
                <w:noProof/>
                <w:webHidden/>
              </w:rPr>
              <w:fldChar w:fldCharType="begin"/>
            </w:r>
            <w:r>
              <w:rPr>
                <w:noProof/>
                <w:webHidden/>
              </w:rPr>
              <w:instrText xml:space="preserve"> PAGEREF _Toc221636173 \h </w:instrText>
            </w:r>
            <w:r>
              <w:rPr>
                <w:noProof/>
                <w:webHidden/>
              </w:rPr>
            </w:r>
            <w:r>
              <w:rPr>
                <w:noProof/>
                <w:webHidden/>
              </w:rPr>
              <w:fldChar w:fldCharType="separate"/>
            </w:r>
            <w:r>
              <w:rPr>
                <w:noProof/>
                <w:webHidden/>
              </w:rPr>
              <w:t>9</w:t>
            </w:r>
            <w:r>
              <w:rPr>
                <w:noProof/>
                <w:webHidden/>
              </w:rPr>
              <w:fldChar w:fldCharType="end"/>
            </w:r>
          </w:hyperlink>
        </w:p>
        <w:p w14:paraId="627E30D2" w14:textId="34A869DB" w:rsidR="00AD2C40" w:rsidRDefault="00AD2C40">
          <w:pPr>
            <w:pStyle w:val="TOC1"/>
            <w:tabs>
              <w:tab w:val="right" w:leader="dot" w:pos="9016"/>
            </w:tabs>
            <w:rPr>
              <w:rFonts w:eastAsiaTheme="minorEastAsia"/>
              <w:noProof/>
              <w:lang w:eastAsia="en-IN"/>
            </w:rPr>
          </w:pPr>
          <w:hyperlink w:anchor="_Toc221636174" w:history="1">
            <w:r w:rsidRPr="006D2185">
              <w:rPr>
                <w:rStyle w:val="Hyperlink"/>
                <w:noProof/>
              </w:rPr>
              <w:t>6. Hidden Costs of Legacy Platforms</w:t>
            </w:r>
            <w:r>
              <w:rPr>
                <w:noProof/>
                <w:webHidden/>
              </w:rPr>
              <w:tab/>
            </w:r>
            <w:r>
              <w:rPr>
                <w:noProof/>
                <w:webHidden/>
              </w:rPr>
              <w:fldChar w:fldCharType="begin"/>
            </w:r>
            <w:r>
              <w:rPr>
                <w:noProof/>
                <w:webHidden/>
              </w:rPr>
              <w:instrText xml:space="preserve"> PAGEREF _Toc221636174 \h </w:instrText>
            </w:r>
            <w:r>
              <w:rPr>
                <w:noProof/>
                <w:webHidden/>
              </w:rPr>
            </w:r>
            <w:r>
              <w:rPr>
                <w:noProof/>
                <w:webHidden/>
              </w:rPr>
              <w:fldChar w:fldCharType="separate"/>
            </w:r>
            <w:r>
              <w:rPr>
                <w:noProof/>
                <w:webHidden/>
              </w:rPr>
              <w:t>9</w:t>
            </w:r>
            <w:r>
              <w:rPr>
                <w:noProof/>
                <w:webHidden/>
              </w:rPr>
              <w:fldChar w:fldCharType="end"/>
            </w:r>
          </w:hyperlink>
        </w:p>
        <w:p w14:paraId="1E23D96F" w14:textId="46E02A36" w:rsidR="00AD2C40" w:rsidRDefault="00AD2C40">
          <w:pPr>
            <w:pStyle w:val="TOC2"/>
            <w:tabs>
              <w:tab w:val="right" w:leader="dot" w:pos="9016"/>
            </w:tabs>
            <w:rPr>
              <w:rFonts w:eastAsiaTheme="minorEastAsia"/>
              <w:noProof/>
              <w:lang w:eastAsia="en-IN"/>
            </w:rPr>
          </w:pPr>
          <w:hyperlink w:anchor="_Toc221636175" w:history="1">
            <w:r w:rsidRPr="006D2185">
              <w:rPr>
                <w:rStyle w:val="Hyperlink"/>
                <w:noProof/>
              </w:rPr>
              <w:t>6.1 Technical Debt</w:t>
            </w:r>
            <w:r>
              <w:rPr>
                <w:noProof/>
                <w:webHidden/>
              </w:rPr>
              <w:tab/>
            </w:r>
            <w:r>
              <w:rPr>
                <w:noProof/>
                <w:webHidden/>
              </w:rPr>
              <w:fldChar w:fldCharType="begin"/>
            </w:r>
            <w:r>
              <w:rPr>
                <w:noProof/>
                <w:webHidden/>
              </w:rPr>
              <w:instrText xml:space="preserve"> PAGEREF _Toc221636175 \h </w:instrText>
            </w:r>
            <w:r>
              <w:rPr>
                <w:noProof/>
                <w:webHidden/>
              </w:rPr>
            </w:r>
            <w:r>
              <w:rPr>
                <w:noProof/>
                <w:webHidden/>
              </w:rPr>
              <w:fldChar w:fldCharType="separate"/>
            </w:r>
            <w:r>
              <w:rPr>
                <w:noProof/>
                <w:webHidden/>
              </w:rPr>
              <w:t>9</w:t>
            </w:r>
            <w:r>
              <w:rPr>
                <w:noProof/>
                <w:webHidden/>
              </w:rPr>
              <w:fldChar w:fldCharType="end"/>
            </w:r>
          </w:hyperlink>
        </w:p>
        <w:p w14:paraId="60593570" w14:textId="05F93E68" w:rsidR="00AD2C40" w:rsidRDefault="00AD2C40">
          <w:pPr>
            <w:pStyle w:val="TOC2"/>
            <w:tabs>
              <w:tab w:val="right" w:leader="dot" w:pos="9016"/>
            </w:tabs>
            <w:rPr>
              <w:rFonts w:eastAsiaTheme="minorEastAsia"/>
              <w:noProof/>
              <w:lang w:eastAsia="en-IN"/>
            </w:rPr>
          </w:pPr>
          <w:hyperlink w:anchor="_Toc221636176" w:history="1">
            <w:r w:rsidRPr="006D2185">
              <w:rPr>
                <w:rStyle w:val="Hyperlink"/>
                <w:noProof/>
              </w:rPr>
              <w:t>6.2 Talent Scarcity Premium</w:t>
            </w:r>
            <w:r>
              <w:rPr>
                <w:noProof/>
                <w:webHidden/>
              </w:rPr>
              <w:tab/>
            </w:r>
            <w:r>
              <w:rPr>
                <w:noProof/>
                <w:webHidden/>
              </w:rPr>
              <w:fldChar w:fldCharType="begin"/>
            </w:r>
            <w:r>
              <w:rPr>
                <w:noProof/>
                <w:webHidden/>
              </w:rPr>
              <w:instrText xml:space="preserve"> PAGEREF _Toc221636176 \h </w:instrText>
            </w:r>
            <w:r>
              <w:rPr>
                <w:noProof/>
                <w:webHidden/>
              </w:rPr>
            </w:r>
            <w:r>
              <w:rPr>
                <w:noProof/>
                <w:webHidden/>
              </w:rPr>
              <w:fldChar w:fldCharType="separate"/>
            </w:r>
            <w:r>
              <w:rPr>
                <w:noProof/>
                <w:webHidden/>
              </w:rPr>
              <w:t>9</w:t>
            </w:r>
            <w:r>
              <w:rPr>
                <w:noProof/>
                <w:webHidden/>
              </w:rPr>
              <w:fldChar w:fldCharType="end"/>
            </w:r>
          </w:hyperlink>
        </w:p>
        <w:p w14:paraId="5963F9C7" w14:textId="1E31D710" w:rsidR="00AD2C40" w:rsidRDefault="00AD2C40">
          <w:pPr>
            <w:pStyle w:val="TOC2"/>
            <w:tabs>
              <w:tab w:val="right" w:leader="dot" w:pos="9016"/>
            </w:tabs>
            <w:rPr>
              <w:rFonts w:eastAsiaTheme="minorEastAsia"/>
              <w:noProof/>
              <w:lang w:eastAsia="en-IN"/>
            </w:rPr>
          </w:pPr>
          <w:hyperlink w:anchor="_Toc221636177" w:history="1">
            <w:r w:rsidRPr="006D2185">
              <w:rPr>
                <w:rStyle w:val="Hyperlink"/>
                <w:noProof/>
              </w:rPr>
              <w:t>6.3 Innovation Opportunity Cost</w:t>
            </w:r>
            <w:r>
              <w:rPr>
                <w:noProof/>
                <w:webHidden/>
              </w:rPr>
              <w:tab/>
            </w:r>
            <w:r>
              <w:rPr>
                <w:noProof/>
                <w:webHidden/>
              </w:rPr>
              <w:fldChar w:fldCharType="begin"/>
            </w:r>
            <w:r>
              <w:rPr>
                <w:noProof/>
                <w:webHidden/>
              </w:rPr>
              <w:instrText xml:space="preserve"> PAGEREF _Toc221636177 \h </w:instrText>
            </w:r>
            <w:r>
              <w:rPr>
                <w:noProof/>
                <w:webHidden/>
              </w:rPr>
            </w:r>
            <w:r>
              <w:rPr>
                <w:noProof/>
                <w:webHidden/>
              </w:rPr>
              <w:fldChar w:fldCharType="separate"/>
            </w:r>
            <w:r>
              <w:rPr>
                <w:noProof/>
                <w:webHidden/>
              </w:rPr>
              <w:t>10</w:t>
            </w:r>
            <w:r>
              <w:rPr>
                <w:noProof/>
                <w:webHidden/>
              </w:rPr>
              <w:fldChar w:fldCharType="end"/>
            </w:r>
          </w:hyperlink>
        </w:p>
        <w:p w14:paraId="6B723D4D" w14:textId="19547378" w:rsidR="00AD2C40" w:rsidRDefault="00AD2C40">
          <w:pPr>
            <w:pStyle w:val="TOC2"/>
            <w:tabs>
              <w:tab w:val="right" w:leader="dot" w:pos="9016"/>
            </w:tabs>
            <w:rPr>
              <w:rFonts w:eastAsiaTheme="minorEastAsia"/>
              <w:noProof/>
              <w:lang w:eastAsia="en-IN"/>
            </w:rPr>
          </w:pPr>
          <w:hyperlink w:anchor="_Toc221636178" w:history="1">
            <w:r w:rsidRPr="006D2185">
              <w:rPr>
                <w:rStyle w:val="Hyperlink"/>
                <w:noProof/>
              </w:rPr>
              <w:t>6.4 Compliance and Security Risk</w:t>
            </w:r>
            <w:r>
              <w:rPr>
                <w:noProof/>
                <w:webHidden/>
              </w:rPr>
              <w:tab/>
            </w:r>
            <w:r>
              <w:rPr>
                <w:noProof/>
                <w:webHidden/>
              </w:rPr>
              <w:fldChar w:fldCharType="begin"/>
            </w:r>
            <w:r>
              <w:rPr>
                <w:noProof/>
                <w:webHidden/>
              </w:rPr>
              <w:instrText xml:space="preserve"> PAGEREF _Toc221636178 \h </w:instrText>
            </w:r>
            <w:r>
              <w:rPr>
                <w:noProof/>
                <w:webHidden/>
              </w:rPr>
            </w:r>
            <w:r>
              <w:rPr>
                <w:noProof/>
                <w:webHidden/>
              </w:rPr>
              <w:fldChar w:fldCharType="separate"/>
            </w:r>
            <w:r>
              <w:rPr>
                <w:noProof/>
                <w:webHidden/>
              </w:rPr>
              <w:t>10</w:t>
            </w:r>
            <w:r>
              <w:rPr>
                <w:noProof/>
                <w:webHidden/>
              </w:rPr>
              <w:fldChar w:fldCharType="end"/>
            </w:r>
          </w:hyperlink>
        </w:p>
        <w:p w14:paraId="18A6B666" w14:textId="0D3ED863" w:rsidR="00AD2C40" w:rsidRDefault="00AD2C40">
          <w:pPr>
            <w:pStyle w:val="TOC1"/>
            <w:tabs>
              <w:tab w:val="right" w:leader="dot" w:pos="9016"/>
            </w:tabs>
            <w:rPr>
              <w:rFonts w:eastAsiaTheme="minorEastAsia"/>
              <w:noProof/>
              <w:lang w:eastAsia="en-IN"/>
            </w:rPr>
          </w:pPr>
          <w:hyperlink w:anchor="_Toc221636179" w:history="1">
            <w:r w:rsidRPr="006D2185">
              <w:rPr>
                <w:rStyle w:val="Hyperlink"/>
                <w:noProof/>
              </w:rPr>
              <w:t>7. Migration Investment vs. Long-term Savings</w:t>
            </w:r>
            <w:r>
              <w:rPr>
                <w:noProof/>
                <w:webHidden/>
              </w:rPr>
              <w:tab/>
            </w:r>
            <w:r>
              <w:rPr>
                <w:noProof/>
                <w:webHidden/>
              </w:rPr>
              <w:fldChar w:fldCharType="begin"/>
            </w:r>
            <w:r>
              <w:rPr>
                <w:noProof/>
                <w:webHidden/>
              </w:rPr>
              <w:instrText xml:space="preserve"> PAGEREF _Toc221636179 \h </w:instrText>
            </w:r>
            <w:r>
              <w:rPr>
                <w:noProof/>
                <w:webHidden/>
              </w:rPr>
            </w:r>
            <w:r>
              <w:rPr>
                <w:noProof/>
                <w:webHidden/>
              </w:rPr>
              <w:fldChar w:fldCharType="separate"/>
            </w:r>
            <w:r>
              <w:rPr>
                <w:noProof/>
                <w:webHidden/>
              </w:rPr>
              <w:t>11</w:t>
            </w:r>
            <w:r>
              <w:rPr>
                <w:noProof/>
                <w:webHidden/>
              </w:rPr>
              <w:fldChar w:fldCharType="end"/>
            </w:r>
          </w:hyperlink>
        </w:p>
        <w:p w14:paraId="4EB0319C" w14:textId="7D41695C" w:rsidR="00AD2C40" w:rsidRDefault="00AD2C40">
          <w:pPr>
            <w:pStyle w:val="TOC2"/>
            <w:tabs>
              <w:tab w:val="right" w:leader="dot" w:pos="9016"/>
            </w:tabs>
            <w:rPr>
              <w:rFonts w:eastAsiaTheme="minorEastAsia"/>
              <w:noProof/>
              <w:lang w:eastAsia="en-IN"/>
            </w:rPr>
          </w:pPr>
          <w:hyperlink w:anchor="_Toc221636180" w:history="1">
            <w:r w:rsidRPr="006D2185">
              <w:rPr>
                <w:rStyle w:val="Hyperlink"/>
                <w:noProof/>
              </w:rPr>
              <w:t>7.1 Migration Investment Components</w:t>
            </w:r>
            <w:r>
              <w:rPr>
                <w:noProof/>
                <w:webHidden/>
              </w:rPr>
              <w:tab/>
            </w:r>
            <w:r>
              <w:rPr>
                <w:noProof/>
                <w:webHidden/>
              </w:rPr>
              <w:fldChar w:fldCharType="begin"/>
            </w:r>
            <w:r>
              <w:rPr>
                <w:noProof/>
                <w:webHidden/>
              </w:rPr>
              <w:instrText xml:space="preserve"> PAGEREF _Toc221636180 \h </w:instrText>
            </w:r>
            <w:r>
              <w:rPr>
                <w:noProof/>
                <w:webHidden/>
              </w:rPr>
            </w:r>
            <w:r>
              <w:rPr>
                <w:noProof/>
                <w:webHidden/>
              </w:rPr>
              <w:fldChar w:fldCharType="separate"/>
            </w:r>
            <w:r>
              <w:rPr>
                <w:noProof/>
                <w:webHidden/>
              </w:rPr>
              <w:t>11</w:t>
            </w:r>
            <w:r>
              <w:rPr>
                <w:noProof/>
                <w:webHidden/>
              </w:rPr>
              <w:fldChar w:fldCharType="end"/>
            </w:r>
          </w:hyperlink>
        </w:p>
        <w:p w14:paraId="586BFD3F" w14:textId="659C58A2" w:rsidR="00AD2C40" w:rsidRDefault="00AD2C40">
          <w:pPr>
            <w:pStyle w:val="TOC2"/>
            <w:tabs>
              <w:tab w:val="right" w:leader="dot" w:pos="9016"/>
            </w:tabs>
            <w:rPr>
              <w:rFonts w:eastAsiaTheme="minorEastAsia"/>
              <w:noProof/>
              <w:lang w:eastAsia="en-IN"/>
            </w:rPr>
          </w:pPr>
          <w:hyperlink w:anchor="_Toc221636181" w:history="1">
            <w:r w:rsidRPr="006D2185">
              <w:rPr>
                <w:rStyle w:val="Hyperlink"/>
                <w:noProof/>
              </w:rPr>
              <w:t>7.2 Breakeven Analysis</w:t>
            </w:r>
            <w:r>
              <w:rPr>
                <w:noProof/>
                <w:webHidden/>
              </w:rPr>
              <w:tab/>
            </w:r>
            <w:r>
              <w:rPr>
                <w:noProof/>
                <w:webHidden/>
              </w:rPr>
              <w:fldChar w:fldCharType="begin"/>
            </w:r>
            <w:r>
              <w:rPr>
                <w:noProof/>
                <w:webHidden/>
              </w:rPr>
              <w:instrText xml:space="preserve"> PAGEREF _Toc221636181 \h </w:instrText>
            </w:r>
            <w:r>
              <w:rPr>
                <w:noProof/>
                <w:webHidden/>
              </w:rPr>
            </w:r>
            <w:r>
              <w:rPr>
                <w:noProof/>
                <w:webHidden/>
              </w:rPr>
              <w:fldChar w:fldCharType="separate"/>
            </w:r>
            <w:r>
              <w:rPr>
                <w:noProof/>
                <w:webHidden/>
              </w:rPr>
              <w:t>11</w:t>
            </w:r>
            <w:r>
              <w:rPr>
                <w:noProof/>
                <w:webHidden/>
              </w:rPr>
              <w:fldChar w:fldCharType="end"/>
            </w:r>
          </w:hyperlink>
        </w:p>
        <w:p w14:paraId="41DF2FFB" w14:textId="578D2AEE" w:rsidR="00AD2C40" w:rsidRDefault="00AD2C40">
          <w:pPr>
            <w:pStyle w:val="TOC1"/>
            <w:tabs>
              <w:tab w:val="right" w:leader="dot" w:pos="9016"/>
            </w:tabs>
            <w:rPr>
              <w:rFonts w:eastAsiaTheme="minorEastAsia"/>
              <w:noProof/>
              <w:lang w:eastAsia="en-IN"/>
            </w:rPr>
          </w:pPr>
          <w:hyperlink w:anchor="_Toc221636182" w:history="1">
            <w:r w:rsidRPr="006D2185">
              <w:rPr>
                <w:rStyle w:val="Hyperlink"/>
                <w:noProof/>
              </w:rPr>
              <w:t>8. Conclusion</w:t>
            </w:r>
            <w:r>
              <w:rPr>
                <w:noProof/>
                <w:webHidden/>
              </w:rPr>
              <w:tab/>
            </w:r>
            <w:r>
              <w:rPr>
                <w:noProof/>
                <w:webHidden/>
              </w:rPr>
              <w:fldChar w:fldCharType="begin"/>
            </w:r>
            <w:r>
              <w:rPr>
                <w:noProof/>
                <w:webHidden/>
              </w:rPr>
              <w:instrText xml:space="preserve"> PAGEREF _Toc221636182 \h </w:instrText>
            </w:r>
            <w:r>
              <w:rPr>
                <w:noProof/>
                <w:webHidden/>
              </w:rPr>
            </w:r>
            <w:r>
              <w:rPr>
                <w:noProof/>
                <w:webHidden/>
              </w:rPr>
              <w:fldChar w:fldCharType="separate"/>
            </w:r>
            <w:r>
              <w:rPr>
                <w:noProof/>
                <w:webHidden/>
              </w:rPr>
              <w:t>12</w:t>
            </w:r>
            <w:r>
              <w:rPr>
                <w:noProof/>
                <w:webHidden/>
              </w:rPr>
              <w:fldChar w:fldCharType="end"/>
            </w:r>
          </w:hyperlink>
        </w:p>
        <w:p w14:paraId="789CA110" w14:textId="2A407EB6" w:rsidR="00655653" w:rsidRDefault="00655653">
          <w:r>
            <w:rPr>
              <w:b/>
              <w:bCs/>
              <w:noProof/>
            </w:rPr>
            <w:fldChar w:fldCharType="end"/>
          </w:r>
        </w:p>
      </w:sdtContent>
    </w:sdt>
    <w:p w14:paraId="60DE3652" w14:textId="77777777" w:rsidR="00D50EC6" w:rsidRDefault="00000000">
      <w:r>
        <w:br w:type="page"/>
      </w:r>
    </w:p>
    <w:p w14:paraId="47D6C2E7" w14:textId="77777777" w:rsidR="00D50EC6" w:rsidRDefault="00000000">
      <w:pPr>
        <w:pStyle w:val="Heading1"/>
      </w:pPr>
      <w:bookmarkStart w:id="0" w:name="_Toc221636158"/>
      <w:r>
        <w:rPr>
          <w:color w:val="0F4761"/>
        </w:rPr>
        <w:t>1. Executive Summary</w:t>
      </w:r>
      <w:bookmarkEnd w:id="0"/>
    </w:p>
    <w:p w14:paraId="14FFECF7" w14:textId="77777777" w:rsidR="00D50EC6" w:rsidRDefault="00000000" w:rsidP="00F26C99">
      <w:pPr>
        <w:spacing w:after="120"/>
        <w:jc w:val="both"/>
      </w:pPr>
      <w:r>
        <w:t>Total Cost of Ownership (TCO) is the single most scrutinized metric in enterprise technology procurement decisions. This document provides a comprehensive, category-by-category TCO comparison between legacy data platforms—Teradata, Hadoop/Cloudera, Oracle Exadata, Informatica, SAS, and SSIS—and the Snowflake Data Cloud Platform delivered through Mastech Digital’s suite of Autonomous Data solutions.</w:t>
      </w:r>
    </w:p>
    <w:p w14:paraId="3932796D" w14:textId="77777777" w:rsidR="00D50EC6" w:rsidRDefault="00000000" w:rsidP="00F26C99">
      <w:pPr>
        <w:spacing w:after="120"/>
        <w:jc w:val="both"/>
      </w:pPr>
      <w:r>
        <w:t>The analysis demonstrates that organizations migrating to Snowflake Data Cloud with Mastech Digital achieve 40–60% TCO reduction over a 3-year period, with additional hidden cost avoidance in technical debt, talent scarcity premiums, and innovation opportunity costs that can double the effective savings. This TCO framework equips Mastech sales teams with defensible, data-driven comparisons that withstand procurement and finance team scrutiny.</w:t>
      </w:r>
    </w:p>
    <w:p w14:paraId="60691F31" w14:textId="77777777" w:rsidR="00D50EC6" w:rsidRDefault="00000000" w:rsidP="00F26C99">
      <w:pPr>
        <w:spacing w:after="120"/>
        <w:jc w:val="both"/>
      </w:pPr>
      <w:r>
        <w:t>Beyond direct cost comparisons, this document exposes the hidden costs of legacy platform maintenance that are frequently overlooked in conventional TCO analyses—including the compounding cost of technical debt, the premium organizations pay for increasingly scarce legacy platform talent, and the opportunity cost of innovations that cannot be pursued on rigid, aging architectures.</w:t>
      </w:r>
    </w:p>
    <w:p w14:paraId="3BDE776A" w14:textId="77777777" w:rsidR="00D50EC6" w:rsidRDefault="00000000">
      <w:pPr>
        <w:pStyle w:val="Heading1"/>
      </w:pPr>
      <w:bookmarkStart w:id="1" w:name="_Toc221636159"/>
      <w:r>
        <w:rPr>
          <w:color w:val="0F4761"/>
        </w:rPr>
        <w:t>2. Cost Categories Framework</w:t>
      </w:r>
      <w:bookmarkEnd w:id="1"/>
    </w:p>
    <w:p w14:paraId="6097E477" w14:textId="77777777" w:rsidR="00D50EC6" w:rsidRDefault="00000000" w:rsidP="008C0DD8">
      <w:pPr>
        <w:spacing w:after="120"/>
        <w:jc w:val="both"/>
      </w:pPr>
      <w:r>
        <w:t>A rigorous TCO comparison requires a comprehensive cost taxonomy that captures both visible and hidden expenditures. Mastech Digital’s TCO framework categorizes costs into five primary dimensions, ensuring that no significant cost driver is excluded from the analysis.</w:t>
      </w:r>
    </w:p>
    <w:p w14:paraId="3E248398" w14:textId="77777777" w:rsidR="00D50EC6" w:rsidRDefault="00000000" w:rsidP="008C0DD8">
      <w:pPr>
        <w:spacing w:after="120"/>
        <w:jc w:val="both"/>
      </w:pPr>
      <w:r>
        <w:t xml:space="preserve">This framework has been refined through dozens of </w:t>
      </w:r>
      <w:proofErr w:type="gramStart"/>
      <w:r>
        <w:t>enterprise</w:t>
      </w:r>
      <w:proofErr w:type="gramEnd"/>
      <w:r>
        <w:t xml:space="preserve"> TCO assessments and aligns with industry-standard IT financial management methodologies. Each category includes both direct (budget line item) and indirect (allocated or imputed) cost components.</w:t>
      </w:r>
    </w:p>
    <w:p w14:paraId="19D93A4F" w14:textId="77777777" w:rsidR="00D50EC6" w:rsidRDefault="00000000" w:rsidP="008C0DD8">
      <w:pPr>
        <w:pStyle w:val="ListParagraph"/>
        <w:numPr>
          <w:ilvl w:val="0"/>
          <w:numId w:val="1"/>
        </w:numPr>
        <w:jc w:val="both"/>
      </w:pPr>
      <w:r>
        <w:rPr>
          <w:b/>
        </w:rPr>
        <w:t xml:space="preserve">Software Licensing: </w:t>
      </w:r>
      <w:r>
        <w:t>All subscription, perpetual license, and maintenance fees for data platform software. Includes base platform licensing, connector/adapter licenses, development tool licenses, and annual support and maintenance contracts. For legacy platforms, this is frequently the largest single cost category, with enterprise agreements often exceeding $2M–$5M annually.</w:t>
      </w:r>
    </w:p>
    <w:p w14:paraId="3D9EA53E" w14:textId="77777777" w:rsidR="00D50EC6" w:rsidRDefault="00000000" w:rsidP="008C0DD8">
      <w:pPr>
        <w:pStyle w:val="ListParagraph"/>
        <w:numPr>
          <w:ilvl w:val="0"/>
          <w:numId w:val="1"/>
        </w:numPr>
        <w:jc w:val="both"/>
      </w:pPr>
      <w:r>
        <w:rPr>
          <w:b/>
        </w:rPr>
        <w:t xml:space="preserve">Infrastructure: </w:t>
      </w:r>
      <w:r>
        <w:t xml:space="preserve">Compute, storage, and network resources required to operate data platforms. For on-premises deployments, includes server hardware, storage arrays, network equipment, data </w:t>
      </w:r>
      <w:proofErr w:type="spellStart"/>
      <w:r>
        <w:t>center</w:t>
      </w:r>
      <w:proofErr w:type="spellEnd"/>
      <w:r>
        <w:t xml:space="preserve"> space, power, and cooling. For cloud deployments, includes IaaS/PaaS charges, reserved instances, and egress fees. </w:t>
      </w:r>
      <w:r>
        <w:t>Infrastructure costs are often underestimated by 20–40% when allocated overhead is excluded.</w:t>
      </w:r>
    </w:p>
    <w:p w14:paraId="0A360C60" w14:textId="77777777" w:rsidR="00D50EC6" w:rsidRDefault="00000000" w:rsidP="008C0DD8">
      <w:pPr>
        <w:pStyle w:val="ListParagraph"/>
        <w:numPr>
          <w:ilvl w:val="0"/>
          <w:numId w:val="1"/>
        </w:numPr>
        <w:jc w:val="both"/>
      </w:pPr>
      <w:r>
        <w:rPr>
          <w:b/>
        </w:rPr>
        <w:t xml:space="preserve">Operations &amp; Administration: </w:t>
      </w:r>
      <w:r>
        <w:t>Personnel costs for platform administration, monitoring, patching, upgrades, backup and recovery, capacity planning, and incident management. Includes both dedicated platform teams and shared services allocations. Operational complexity increases non-linearly with the number of platforms managed.</w:t>
      </w:r>
    </w:p>
    <w:p w14:paraId="568571FA" w14:textId="77777777" w:rsidR="00D50EC6" w:rsidRDefault="00000000" w:rsidP="008C0DD8">
      <w:pPr>
        <w:pStyle w:val="ListParagraph"/>
        <w:numPr>
          <w:ilvl w:val="0"/>
          <w:numId w:val="1"/>
        </w:numPr>
        <w:jc w:val="both"/>
      </w:pPr>
      <w:r>
        <w:rPr>
          <w:b/>
        </w:rPr>
        <w:t xml:space="preserve">Talent &amp; Skills: </w:t>
      </w:r>
      <w:r>
        <w:t>Costs associated with hiring, retaining, and training personnel with legacy platform expertise. Includes recruitment premiums for scarce skills (Teradata DBAs, COBOL developers, Informatica specialists), training and certification investments, and contractor/consulting rates for specialized skills not available in-house.</w:t>
      </w:r>
    </w:p>
    <w:p w14:paraId="58725903" w14:textId="77777777" w:rsidR="00D50EC6" w:rsidRDefault="00000000" w:rsidP="008C0DD8">
      <w:pPr>
        <w:pStyle w:val="ListParagraph"/>
        <w:numPr>
          <w:ilvl w:val="0"/>
          <w:numId w:val="1"/>
        </w:numPr>
        <w:jc w:val="both"/>
      </w:pPr>
      <w:r>
        <w:rPr>
          <w:b/>
        </w:rPr>
        <w:t xml:space="preserve">Opportunity Cost: </w:t>
      </w:r>
      <w:r>
        <w:t>The economic value of business initiatives that cannot be pursued due to platform limitations, resource constraints, or excessive time-to-delivery. This category captures delayed analytics projects, unfulfilled ML/AI initiatives, and competitive disadvantage from slower data-driven decision-making. While inherently estimated, opportunity costs often represent the largest category when properly quantified.</w:t>
      </w:r>
    </w:p>
    <w:p w14:paraId="35CDB616" w14:textId="77777777" w:rsidR="00D50EC6" w:rsidRDefault="00000000">
      <w:pPr>
        <w:pStyle w:val="Heading1"/>
      </w:pPr>
      <w:bookmarkStart w:id="2" w:name="_Toc221636160"/>
      <w:r>
        <w:rPr>
          <w:color w:val="0F4761"/>
        </w:rPr>
        <w:t>3. Legacy Platform Cost Analysis</w:t>
      </w:r>
      <w:bookmarkEnd w:id="2"/>
    </w:p>
    <w:p w14:paraId="2FCF3658" w14:textId="77777777" w:rsidR="00D50EC6" w:rsidRDefault="00000000" w:rsidP="00E92232">
      <w:pPr>
        <w:spacing w:after="120"/>
        <w:jc w:val="both"/>
      </w:pPr>
      <w:r>
        <w:t>The following analysis provides benchmark cost ranges for each major legacy platform commonly encountered in enterprise environments. All figures represent annual costs for a mid-to-large enterprise deployment (100–500 TB of managed data, 50–200 concurrent users).</w:t>
      </w:r>
    </w:p>
    <w:p w14:paraId="3B64AB54" w14:textId="77777777" w:rsidR="00D50EC6" w:rsidRDefault="00000000">
      <w:pPr>
        <w:pStyle w:val="Heading2"/>
      </w:pPr>
      <w:bookmarkStart w:id="3" w:name="_Toc221636161"/>
      <w:r>
        <w:rPr>
          <w:color w:val="0F4761"/>
        </w:rPr>
        <w:t>3.1 Teradata</w:t>
      </w:r>
      <w:bookmarkEnd w:id="3"/>
    </w:p>
    <w:p w14:paraId="200D9BCC" w14:textId="77777777" w:rsidR="00D50EC6" w:rsidRDefault="00000000" w:rsidP="00E92232">
      <w:pPr>
        <w:spacing w:after="120"/>
        <w:jc w:val="both"/>
      </w:pPr>
      <w:r>
        <w:t>Teradata remains one of the most expensive enterprise data warehouse platforms, with per-node licensing and proprietary hardware requirements that create significant lock-in and escalating costs.</w:t>
      </w:r>
    </w:p>
    <w:p w14:paraId="451E9243" w14:textId="77777777" w:rsidR="00D50EC6" w:rsidRDefault="00000000" w:rsidP="00E92232">
      <w:pPr>
        <w:pStyle w:val="ListParagraph"/>
        <w:numPr>
          <w:ilvl w:val="0"/>
          <w:numId w:val="20"/>
        </w:numPr>
        <w:jc w:val="both"/>
      </w:pPr>
      <w:r>
        <w:rPr>
          <w:b/>
        </w:rPr>
        <w:t xml:space="preserve">Licensing: </w:t>
      </w:r>
      <w:r>
        <w:t>$50K–$200K per node per year, with typical enterprise deployments requiring 8–20 nodes. Total annual licensing: $400K–$4M. Teradata’s per-node pricing model means costs scale linearly with data volume growth, creating an unsustainable cost trajectory.</w:t>
      </w:r>
    </w:p>
    <w:p w14:paraId="40DDF42C" w14:textId="3A0603E3" w:rsidR="00D50EC6" w:rsidRDefault="00000000" w:rsidP="00E92232">
      <w:pPr>
        <w:pStyle w:val="ListParagraph"/>
        <w:numPr>
          <w:ilvl w:val="0"/>
          <w:numId w:val="20"/>
        </w:numPr>
        <w:jc w:val="both"/>
      </w:pPr>
      <w:r>
        <w:rPr>
          <w:b/>
        </w:rPr>
        <w:t xml:space="preserve">Infrastructure: </w:t>
      </w:r>
      <w:r>
        <w:t xml:space="preserve">$200K–$800K annually for proprietary hardware, data </w:t>
      </w:r>
      <w:r w:rsidR="002A11D7">
        <w:t>centre</w:t>
      </w:r>
      <w:r>
        <w:t xml:space="preserve"> allocation, and disaster recovery. Teradata’s appliance model requires dedicated rack space and power allocation that cannot be shared with other workloads.</w:t>
      </w:r>
    </w:p>
    <w:p w14:paraId="1DED220A" w14:textId="77777777" w:rsidR="00D50EC6" w:rsidRDefault="00000000" w:rsidP="00E92232">
      <w:pPr>
        <w:pStyle w:val="ListParagraph"/>
        <w:numPr>
          <w:ilvl w:val="0"/>
          <w:numId w:val="20"/>
        </w:numPr>
        <w:jc w:val="both"/>
      </w:pPr>
      <w:r>
        <w:rPr>
          <w:b/>
        </w:rPr>
        <w:t xml:space="preserve">Operations: </w:t>
      </w:r>
      <w:r>
        <w:t>$400K–$900K annually for 3–6 specialized Teradata DBAs and administrators, each commanding premium salaries ($130K–$180K base) due to skill scarcity in a declining talent market.</w:t>
      </w:r>
    </w:p>
    <w:p w14:paraId="2D3F9C3F" w14:textId="77777777" w:rsidR="00D50EC6" w:rsidRDefault="00000000">
      <w:pPr>
        <w:pStyle w:val="ListParagraph"/>
        <w:numPr>
          <w:ilvl w:val="0"/>
          <w:numId w:val="1"/>
        </w:numPr>
      </w:pPr>
      <w:r>
        <w:rPr>
          <w:b/>
        </w:rPr>
        <w:t xml:space="preserve">Total Annual TCO: </w:t>
      </w:r>
      <w:r>
        <w:t>$1.0M–$5.7M</w:t>
      </w:r>
    </w:p>
    <w:p w14:paraId="7C59E2B7" w14:textId="77777777" w:rsidR="00D50EC6" w:rsidRDefault="00000000">
      <w:pPr>
        <w:pStyle w:val="Heading2"/>
      </w:pPr>
      <w:bookmarkStart w:id="4" w:name="_Toc221636162"/>
      <w:r>
        <w:rPr>
          <w:color w:val="0F4761"/>
        </w:rPr>
        <w:t>3.2 Hadoop/Cloudera</w:t>
      </w:r>
      <w:bookmarkEnd w:id="4"/>
    </w:p>
    <w:p w14:paraId="1F5B91C6" w14:textId="77777777" w:rsidR="00D50EC6" w:rsidRDefault="00000000" w:rsidP="00E92232">
      <w:pPr>
        <w:spacing w:after="120"/>
        <w:jc w:val="both"/>
      </w:pPr>
      <w:r>
        <w:t>Hadoop clusters, while initially positioned as low-cost alternatives to traditional data warehouses, have evolved into complex, expensive environments that require significant operational investment to maintain and scale.</w:t>
      </w:r>
    </w:p>
    <w:p w14:paraId="16F4262F" w14:textId="77777777" w:rsidR="00D50EC6" w:rsidRDefault="00000000" w:rsidP="00E92232">
      <w:pPr>
        <w:pStyle w:val="ListParagraph"/>
        <w:numPr>
          <w:ilvl w:val="0"/>
          <w:numId w:val="1"/>
        </w:numPr>
        <w:jc w:val="both"/>
      </w:pPr>
      <w:r>
        <w:rPr>
          <w:b/>
        </w:rPr>
        <w:t xml:space="preserve">Licensing: </w:t>
      </w:r>
      <w:r>
        <w:t>$100K–$500K annually for Cloudera Data Platform (CDP) Enterprise licensing. While Hadoop core is open-source, enterprise-grade security, governance, and management capabilities require commercial distribution licensing.</w:t>
      </w:r>
    </w:p>
    <w:p w14:paraId="2F6996F7" w14:textId="77777777" w:rsidR="00D50EC6" w:rsidRDefault="00000000" w:rsidP="00E92232">
      <w:pPr>
        <w:pStyle w:val="ListParagraph"/>
        <w:numPr>
          <w:ilvl w:val="0"/>
          <w:numId w:val="1"/>
        </w:numPr>
        <w:jc w:val="both"/>
      </w:pPr>
      <w:r>
        <w:rPr>
          <w:b/>
        </w:rPr>
        <w:t xml:space="preserve">Infrastructure: </w:t>
      </w:r>
      <w:r>
        <w:t>$300K–$1.5M annually for 30–100+ node clusters, including compute, storage, and networking. Hadoop’s storage-compute coupling requires over-provisioning of both resources, driving significant infrastructure waste.</w:t>
      </w:r>
    </w:p>
    <w:p w14:paraId="00D15CEC" w14:textId="77777777" w:rsidR="00D50EC6" w:rsidRDefault="00000000" w:rsidP="00E92232">
      <w:pPr>
        <w:pStyle w:val="ListParagraph"/>
        <w:numPr>
          <w:ilvl w:val="0"/>
          <w:numId w:val="1"/>
        </w:numPr>
        <w:jc w:val="both"/>
      </w:pPr>
      <w:r>
        <w:rPr>
          <w:b/>
        </w:rPr>
        <w:t xml:space="preserve">Operations: </w:t>
      </w:r>
      <w:r>
        <w:t>$600K–$1.5M annually for 4–10 Hadoop administrators and engineers. Cluster tuning, YARN resource management, HDFS maintenance, and ecosystem component management (Hive, Spark, HBase, Kafka) demand continuous operational attention.</w:t>
      </w:r>
    </w:p>
    <w:p w14:paraId="7AE67F61" w14:textId="77777777" w:rsidR="00D50EC6" w:rsidRDefault="00000000" w:rsidP="00E92232">
      <w:pPr>
        <w:pStyle w:val="ListParagraph"/>
        <w:numPr>
          <w:ilvl w:val="0"/>
          <w:numId w:val="1"/>
        </w:numPr>
        <w:jc w:val="both"/>
      </w:pPr>
      <w:r>
        <w:rPr>
          <w:b/>
        </w:rPr>
        <w:t xml:space="preserve">Total Annual TCO: </w:t>
      </w:r>
      <w:r>
        <w:t>$1.0M–$3.5M</w:t>
      </w:r>
    </w:p>
    <w:p w14:paraId="77B1AE89" w14:textId="77777777" w:rsidR="00D50EC6" w:rsidRDefault="00000000">
      <w:pPr>
        <w:pStyle w:val="Heading2"/>
      </w:pPr>
      <w:bookmarkStart w:id="5" w:name="_Toc221636163"/>
      <w:r>
        <w:rPr>
          <w:color w:val="0F4761"/>
        </w:rPr>
        <w:t>3.3 Oracle Exadata</w:t>
      </w:r>
      <w:bookmarkEnd w:id="5"/>
    </w:p>
    <w:p w14:paraId="7681C4B6" w14:textId="77777777" w:rsidR="00D50EC6" w:rsidRDefault="00000000" w:rsidP="00970BB7">
      <w:pPr>
        <w:spacing w:after="120"/>
        <w:jc w:val="both"/>
      </w:pPr>
      <w:r>
        <w:t>Oracle Exadata combines database licensing with proprietary engineered systems, creating a high-performance but extremely costly platform with significant vendor lock-in through Oracle-specific SQL extensions and tooling.</w:t>
      </w:r>
    </w:p>
    <w:p w14:paraId="6B647F90" w14:textId="77777777" w:rsidR="00D50EC6" w:rsidRDefault="00000000">
      <w:pPr>
        <w:pStyle w:val="ListParagraph"/>
        <w:numPr>
          <w:ilvl w:val="0"/>
          <w:numId w:val="1"/>
        </w:numPr>
      </w:pPr>
      <w:r>
        <w:rPr>
          <w:b/>
        </w:rPr>
        <w:t xml:space="preserve">Licensing: </w:t>
      </w:r>
      <w:r>
        <w:t>$500K–$3M annually for Oracle Database Enterprise Edition with Exadata-specific options (Partitioning, Advanced Compression, In-Memory, RAC). Oracle’s per-core licensing model and audit practices create ongoing financial exposure.</w:t>
      </w:r>
    </w:p>
    <w:p w14:paraId="097EA47D" w14:textId="77777777" w:rsidR="00D50EC6" w:rsidRDefault="00000000">
      <w:pPr>
        <w:pStyle w:val="ListParagraph"/>
        <w:numPr>
          <w:ilvl w:val="0"/>
          <w:numId w:val="1"/>
        </w:numPr>
      </w:pPr>
      <w:r>
        <w:rPr>
          <w:b/>
        </w:rPr>
        <w:t xml:space="preserve">Infrastructure: </w:t>
      </w:r>
      <w:r>
        <w:t xml:space="preserve">$300K–$1.2M annually for Exadata appliance hardware, maintenance contracts, and data </w:t>
      </w:r>
      <w:proofErr w:type="spellStart"/>
      <w:r>
        <w:t>center</w:t>
      </w:r>
      <w:proofErr w:type="spellEnd"/>
      <w:r>
        <w:t xml:space="preserve"> allocation. Hardware refresh cycles every 4–5 years add lumpy capital expenditures.</w:t>
      </w:r>
    </w:p>
    <w:p w14:paraId="5A78F58C" w14:textId="77777777" w:rsidR="00D50EC6" w:rsidRDefault="00000000">
      <w:pPr>
        <w:pStyle w:val="ListParagraph"/>
        <w:numPr>
          <w:ilvl w:val="0"/>
          <w:numId w:val="1"/>
        </w:numPr>
      </w:pPr>
      <w:r>
        <w:rPr>
          <w:b/>
        </w:rPr>
        <w:t xml:space="preserve">Operations: </w:t>
      </w:r>
      <w:r>
        <w:t>$500K–$1.2M annually for 3–8 Oracle DBAs with Exadata specialization.</w:t>
      </w:r>
    </w:p>
    <w:p w14:paraId="6D70E727" w14:textId="77777777" w:rsidR="00D50EC6" w:rsidRDefault="00000000">
      <w:pPr>
        <w:pStyle w:val="ListParagraph"/>
        <w:numPr>
          <w:ilvl w:val="0"/>
          <w:numId w:val="1"/>
        </w:numPr>
      </w:pPr>
      <w:r>
        <w:rPr>
          <w:b/>
        </w:rPr>
        <w:t xml:space="preserve">Total Annual TCO: </w:t>
      </w:r>
      <w:r>
        <w:t>$1.3M–$5.4M</w:t>
      </w:r>
    </w:p>
    <w:p w14:paraId="5A50F2F8" w14:textId="77777777" w:rsidR="00AC19CA" w:rsidRDefault="00AC19CA" w:rsidP="00AC19CA"/>
    <w:p w14:paraId="1FD8D23F" w14:textId="77777777" w:rsidR="00AC19CA" w:rsidRDefault="00AC19CA" w:rsidP="00AC19CA"/>
    <w:p w14:paraId="1F60C792" w14:textId="77777777" w:rsidR="00D50EC6" w:rsidRDefault="00000000">
      <w:pPr>
        <w:pStyle w:val="Heading2"/>
      </w:pPr>
      <w:bookmarkStart w:id="6" w:name="_Toc221636164"/>
      <w:r>
        <w:rPr>
          <w:color w:val="0F4761"/>
        </w:rPr>
        <w:t>3.4 Informatica</w:t>
      </w:r>
      <w:bookmarkEnd w:id="6"/>
    </w:p>
    <w:p w14:paraId="5ED4DE04" w14:textId="77777777" w:rsidR="00D50EC6" w:rsidRDefault="00000000" w:rsidP="00C01193">
      <w:pPr>
        <w:spacing w:after="120"/>
        <w:jc w:val="both"/>
      </w:pPr>
      <w:r>
        <w:t>Informatica PowerCenter and Informatica Intelligent Data Management Cloud (IDMC) are the most widely deployed enterprise ETL/data integration platforms. Their licensing models are complex and often significantly underestimated during initial procurement.</w:t>
      </w:r>
    </w:p>
    <w:p w14:paraId="27561F37" w14:textId="77777777" w:rsidR="00D50EC6" w:rsidRDefault="00000000">
      <w:pPr>
        <w:pStyle w:val="ListParagraph"/>
        <w:numPr>
          <w:ilvl w:val="0"/>
          <w:numId w:val="1"/>
        </w:numPr>
      </w:pPr>
      <w:r>
        <w:rPr>
          <w:b/>
        </w:rPr>
        <w:t xml:space="preserve">Licensing: </w:t>
      </w:r>
      <w:r>
        <w:t>$150K–$500K annually for PowerCenter perpetual license maintenance, or $300K–$1M for IDMC cloud subscription. Pricing varies by connector count, data volume processed, and number of processing units (IPUs).</w:t>
      </w:r>
    </w:p>
    <w:p w14:paraId="2DF839B4" w14:textId="77777777" w:rsidR="00D50EC6" w:rsidRDefault="00000000">
      <w:pPr>
        <w:pStyle w:val="ListParagraph"/>
        <w:numPr>
          <w:ilvl w:val="0"/>
          <w:numId w:val="1"/>
        </w:numPr>
      </w:pPr>
      <w:r>
        <w:rPr>
          <w:b/>
        </w:rPr>
        <w:t xml:space="preserve">Infrastructure: </w:t>
      </w:r>
      <w:r>
        <w:t>$100K–$400K annually for PowerCenter server infrastructure and associated storage.</w:t>
      </w:r>
    </w:p>
    <w:p w14:paraId="26CA7520" w14:textId="77777777" w:rsidR="00D50EC6" w:rsidRDefault="00000000">
      <w:pPr>
        <w:pStyle w:val="ListParagraph"/>
        <w:numPr>
          <w:ilvl w:val="0"/>
          <w:numId w:val="1"/>
        </w:numPr>
      </w:pPr>
      <w:r>
        <w:rPr>
          <w:b/>
        </w:rPr>
        <w:t xml:space="preserve">Operations: </w:t>
      </w:r>
      <w:r>
        <w:t>$300K–$800K annually for 2–5 Informatica developers and administrators.</w:t>
      </w:r>
    </w:p>
    <w:p w14:paraId="3FFC1215" w14:textId="77777777" w:rsidR="00D50EC6" w:rsidRDefault="00000000">
      <w:pPr>
        <w:pStyle w:val="ListParagraph"/>
        <w:numPr>
          <w:ilvl w:val="0"/>
          <w:numId w:val="1"/>
        </w:numPr>
      </w:pPr>
      <w:r>
        <w:rPr>
          <w:b/>
        </w:rPr>
        <w:t xml:space="preserve">Total Annual TCO: </w:t>
      </w:r>
      <w:r>
        <w:t>$550K–$1.7M</w:t>
      </w:r>
    </w:p>
    <w:p w14:paraId="444E9814" w14:textId="77777777" w:rsidR="00D50EC6" w:rsidRDefault="00000000">
      <w:pPr>
        <w:pStyle w:val="Heading2"/>
      </w:pPr>
      <w:bookmarkStart w:id="7" w:name="_Toc221636165"/>
      <w:r>
        <w:rPr>
          <w:color w:val="0F4761"/>
        </w:rPr>
        <w:t>3.5 SAS</w:t>
      </w:r>
      <w:bookmarkEnd w:id="7"/>
    </w:p>
    <w:p w14:paraId="162D190D" w14:textId="77777777" w:rsidR="00D50EC6" w:rsidRDefault="00000000" w:rsidP="00C01193">
      <w:pPr>
        <w:spacing w:after="120"/>
        <w:jc w:val="both"/>
      </w:pPr>
      <w:r>
        <w:t>SAS Institute’s analytics platform carries some of the highest per-seat licensing costs in the industry, with a proprietary ecosystem that creates deep vendor dependency and limits flexibility.</w:t>
      </w:r>
    </w:p>
    <w:p w14:paraId="5B26BCC5" w14:textId="77777777" w:rsidR="00D50EC6" w:rsidRDefault="00000000">
      <w:pPr>
        <w:pStyle w:val="ListParagraph"/>
        <w:numPr>
          <w:ilvl w:val="0"/>
          <w:numId w:val="1"/>
        </w:numPr>
      </w:pPr>
      <w:r>
        <w:rPr>
          <w:b/>
        </w:rPr>
        <w:t xml:space="preserve">Licensing: </w:t>
      </w:r>
      <w:r>
        <w:t>$500K–$3M annually depending on modules deployed (Base SAS, SAS/STAT, SAS Enterprise Miner, SAS Visual Analytics). Per-seat pricing for data scientists ranges from $5K–$30K per user per year.</w:t>
      </w:r>
    </w:p>
    <w:p w14:paraId="7824C27B" w14:textId="77777777" w:rsidR="00D50EC6" w:rsidRDefault="00000000">
      <w:pPr>
        <w:pStyle w:val="ListParagraph"/>
        <w:numPr>
          <w:ilvl w:val="0"/>
          <w:numId w:val="1"/>
        </w:numPr>
      </w:pPr>
      <w:r>
        <w:rPr>
          <w:b/>
        </w:rPr>
        <w:t xml:space="preserve">Infrastructure: </w:t>
      </w:r>
      <w:r>
        <w:t>$150K–$500K annually for SAS Grid or Viya infrastructure.</w:t>
      </w:r>
    </w:p>
    <w:p w14:paraId="3545DE9F" w14:textId="77777777" w:rsidR="00D50EC6" w:rsidRDefault="00000000">
      <w:pPr>
        <w:pStyle w:val="ListParagraph"/>
        <w:numPr>
          <w:ilvl w:val="0"/>
          <w:numId w:val="1"/>
        </w:numPr>
      </w:pPr>
      <w:r>
        <w:rPr>
          <w:b/>
        </w:rPr>
        <w:t xml:space="preserve">Operations: </w:t>
      </w:r>
      <w:r>
        <w:t>$200K–$600K annually for SAS administrators and support personnel.</w:t>
      </w:r>
    </w:p>
    <w:p w14:paraId="547A5001" w14:textId="77777777" w:rsidR="00D50EC6" w:rsidRDefault="00000000">
      <w:pPr>
        <w:pStyle w:val="ListParagraph"/>
        <w:numPr>
          <w:ilvl w:val="0"/>
          <w:numId w:val="1"/>
        </w:numPr>
      </w:pPr>
      <w:r>
        <w:rPr>
          <w:b/>
        </w:rPr>
        <w:t xml:space="preserve">Total Annual TCO: </w:t>
      </w:r>
      <w:r>
        <w:t>$850K–$4.1M</w:t>
      </w:r>
    </w:p>
    <w:p w14:paraId="735C12D2" w14:textId="77777777" w:rsidR="00D50EC6" w:rsidRDefault="00000000">
      <w:pPr>
        <w:pStyle w:val="Heading2"/>
      </w:pPr>
      <w:bookmarkStart w:id="8" w:name="_Toc221636166"/>
      <w:r>
        <w:rPr>
          <w:color w:val="0F4761"/>
        </w:rPr>
        <w:t>3.6 SSIS (SQL Server Integration Services)</w:t>
      </w:r>
      <w:bookmarkEnd w:id="8"/>
    </w:p>
    <w:p w14:paraId="2E4B080A" w14:textId="77777777" w:rsidR="00D50EC6" w:rsidRDefault="00000000" w:rsidP="0042078B">
      <w:pPr>
        <w:spacing w:after="120"/>
        <w:jc w:val="both"/>
      </w:pPr>
      <w:r>
        <w:t>While often perceived as a “free” ETL tool bundled with SQL Server, SSIS carries substantial hidden costs in operational complexity, scalability limitations, and technical debt accumulation.</w:t>
      </w:r>
    </w:p>
    <w:p w14:paraId="0F8023F4" w14:textId="77777777" w:rsidR="00D50EC6" w:rsidRDefault="00000000">
      <w:pPr>
        <w:pStyle w:val="ListParagraph"/>
        <w:numPr>
          <w:ilvl w:val="0"/>
          <w:numId w:val="1"/>
        </w:numPr>
      </w:pPr>
      <w:r>
        <w:rPr>
          <w:b/>
        </w:rPr>
        <w:t xml:space="preserve">Licensing: </w:t>
      </w:r>
      <w:r>
        <w:t>$100K–$400K annually for SQL Server Enterprise Edition licensing (required for production SSIS at scale). Per-core licensing at $15K+ per two-core pack adds up quickly for multi-server deployments.</w:t>
      </w:r>
    </w:p>
    <w:p w14:paraId="41F00395" w14:textId="77777777" w:rsidR="00D50EC6" w:rsidRDefault="00000000">
      <w:pPr>
        <w:pStyle w:val="ListParagraph"/>
        <w:numPr>
          <w:ilvl w:val="0"/>
          <w:numId w:val="1"/>
        </w:numPr>
      </w:pPr>
      <w:r>
        <w:rPr>
          <w:b/>
        </w:rPr>
        <w:t xml:space="preserve">Infrastructure: </w:t>
      </w:r>
      <w:r>
        <w:t>$80K–$300K annually for Windows Server infrastructure, SQL Server instances, and associated storage.</w:t>
      </w:r>
    </w:p>
    <w:p w14:paraId="2FC650F5" w14:textId="77777777" w:rsidR="00D50EC6" w:rsidRDefault="00000000">
      <w:pPr>
        <w:pStyle w:val="ListParagraph"/>
        <w:numPr>
          <w:ilvl w:val="0"/>
          <w:numId w:val="1"/>
        </w:numPr>
      </w:pPr>
      <w:r>
        <w:rPr>
          <w:b/>
        </w:rPr>
        <w:t xml:space="preserve">Operations: </w:t>
      </w:r>
      <w:r>
        <w:t>$200K–$500K annually for 1–3 SSIS developers and SQL Server DBAs. Package maintenance and troubleshooting for complex SSIS workflows consumes significant engineering time.</w:t>
      </w:r>
    </w:p>
    <w:p w14:paraId="661C9B12" w14:textId="77777777" w:rsidR="00D50EC6" w:rsidRDefault="00000000">
      <w:pPr>
        <w:pStyle w:val="ListParagraph"/>
        <w:numPr>
          <w:ilvl w:val="0"/>
          <w:numId w:val="1"/>
        </w:numPr>
      </w:pPr>
      <w:r>
        <w:rPr>
          <w:b/>
        </w:rPr>
        <w:t xml:space="preserve">Total Annual TCO: </w:t>
      </w:r>
      <w:r>
        <w:t>$380K–$1.2M</w:t>
      </w:r>
    </w:p>
    <w:p w14:paraId="7275FA19" w14:textId="77777777" w:rsidR="00D50EC6" w:rsidRDefault="00000000">
      <w:pPr>
        <w:pStyle w:val="Heading1"/>
      </w:pPr>
      <w:bookmarkStart w:id="9" w:name="_Toc221636167"/>
      <w:r>
        <w:rPr>
          <w:color w:val="0F4761"/>
        </w:rPr>
        <w:t>4. Snowflake Data Cloud Cost Profile</w:t>
      </w:r>
      <w:bookmarkEnd w:id="9"/>
    </w:p>
    <w:p w14:paraId="330874E3" w14:textId="77777777" w:rsidR="00D50EC6" w:rsidRDefault="00000000" w:rsidP="00CE11A6">
      <w:pPr>
        <w:spacing w:after="120"/>
        <w:jc w:val="both"/>
      </w:pPr>
      <w:r>
        <w:t>The Snowflake Data Cloud Platform represents a fundamentally different cost model compared to legacy platforms. Its cloud-native, serverless architecture eliminates the capital expenditure and over-provisioning inherent in traditional data platform deployments. When combined with Mastech Digital’s Autonomous operations offerings, the total cost profile becomes even more compelling.</w:t>
      </w:r>
    </w:p>
    <w:p w14:paraId="66790034" w14:textId="77777777" w:rsidR="00D50EC6" w:rsidRDefault="00000000">
      <w:pPr>
        <w:pStyle w:val="Heading2"/>
      </w:pPr>
      <w:bookmarkStart w:id="10" w:name="_Toc221636168"/>
      <w:r>
        <w:rPr>
          <w:color w:val="0F4761"/>
        </w:rPr>
        <w:t>4.1 Serverless Compute</w:t>
      </w:r>
      <w:bookmarkEnd w:id="10"/>
    </w:p>
    <w:p w14:paraId="4B09BFA1" w14:textId="77777777" w:rsidR="00D50EC6" w:rsidRDefault="00000000" w:rsidP="00CE11A6">
      <w:pPr>
        <w:spacing w:after="120"/>
        <w:jc w:val="both"/>
      </w:pPr>
      <w:r>
        <w:t>Snowflake’s serverless compute model charges only for actual processing time, with automatic scaling that matches resource allocation to workload demand in real-time. This eliminates the persistent compute costs that characterize legacy platforms, where servers run continuously regardless of utilization.</w:t>
      </w:r>
    </w:p>
    <w:p w14:paraId="50095D2D" w14:textId="77777777" w:rsidR="00D50EC6" w:rsidRDefault="00000000" w:rsidP="00CE11A6">
      <w:pPr>
        <w:pStyle w:val="ListParagraph"/>
        <w:numPr>
          <w:ilvl w:val="0"/>
          <w:numId w:val="1"/>
        </w:numPr>
        <w:jc w:val="both"/>
      </w:pPr>
      <w:r>
        <w:rPr>
          <w:b/>
        </w:rPr>
        <w:t xml:space="preserve">Pay-As-You-Go Pricing: </w:t>
      </w:r>
      <w:r>
        <w:t>Compute costs are measured in Snowflake Credits consumed per hour, with rates varying by workload type (SQL, Jobs, All-Purpose). Typical enterprise consumption ranges from $200K–$1.2M annually, representing 50–70% savings compared to equivalent legacy compute costs.</w:t>
      </w:r>
    </w:p>
    <w:p w14:paraId="12487173" w14:textId="77777777" w:rsidR="00D50EC6" w:rsidRDefault="00000000" w:rsidP="00CE11A6">
      <w:pPr>
        <w:pStyle w:val="ListParagraph"/>
        <w:numPr>
          <w:ilvl w:val="0"/>
          <w:numId w:val="1"/>
        </w:numPr>
        <w:jc w:val="both"/>
      </w:pPr>
      <w:r>
        <w:rPr>
          <w:b/>
        </w:rPr>
        <w:t xml:space="preserve">Automatic Scaling: </w:t>
      </w:r>
      <w:r>
        <w:t>Virtual warehouses scale from zero to maximum capacity based on workload demand, ensuring zero waste during off-peak periods. Legacy platforms incur full infrastructure costs 24/7/365 regardless of utilization rates, which typically average 15–35%.</w:t>
      </w:r>
    </w:p>
    <w:p w14:paraId="0035040D" w14:textId="77777777" w:rsidR="00D50EC6" w:rsidRDefault="00000000" w:rsidP="00CE11A6">
      <w:pPr>
        <w:pStyle w:val="ListParagraph"/>
        <w:numPr>
          <w:ilvl w:val="0"/>
          <w:numId w:val="1"/>
        </w:numPr>
        <w:jc w:val="both"/>
      </w:pPr>
      <w:r>
        <w:rPr>
          <w:b/>
        </w:rPr>
        <w:t xml:space="preserve">No Hardware Refresh: </w:t>
      </w:r>
      <w:r>
        <w:t>Elimination of 4–</w:t>
      </w:r>
      <w:proofErr w:type="gramStart"/>
      <w:r>
        <w:t>5 year</w:t>
      </w:r>
      <w:proofErr w:type="gramEnd"/>
      <w:r>
        <w:t xml:space="preserve"> hardware refresh cycles that create lumpy capital expenditures of $500K–$2M per refresh event on legacy platforms.</w:t>
      </w:r>
    </w:p>
    <w:p w14:paraId="0CE90DD7" w14:textId="77777777" w:rsidR="00D50EC6" w:rsidRDefault="00000000">
      <w:pPr>
        <w:pStyle w:val="Heading2"/>
      </w:pPr>
      <w:bookmarkStart w:id="11" w:name="_Toc221636169"/>
      <w:r>
        <w:rPr>
          <w:color w:val="0F4761"/>
        </w:rPr>
        <w:t>4.2 Open Format Storage (Snowflake Managed Tables with Apache Iceberg)</w:t>
      </w:r>
      <w:bookmarkEnd w:id="11"/>
    </w:p>
    <w:p w14:paraId="63C49D8A" w14:textId="77777777" w:rsidR="00D50EC6" w:rsidRDefault="00000000" w:rsidP="00CE11A6">
      <w:pPr>
        <w:spacing w:after="120"/>
        <w:jc w:val="both"/>
      </w:pPr>
      <w:r>
        <w:t>Snowflake’s managed storage with Apache Iceberg support on cloud object storage (AWS S3, Azure ADLS, GCP GCS) provides enterprise-grade reliability at a fraction of proprietary storage costs.</w:t>
      </w:r>
    </w:p>
    <w:p w14:paraId="08DC9457" w14:textId="77777777" w:rsidR="00D50EC6" w:rsidRDefault="00000000" w:rsidP="00CE11A6">
      <w:pPr>
        <w:pStyle w:val="ListParagraph"/>
        <w:numPr>
          <w:ilvl w:val="0"/>
          <w:numId w:val="1"/>
        </w:numPr>
        <w:jc w:val="both"/>
      </w:pPr>
      <w:r>
        <w:rPr>
          <w:b/>
        </w:rPr>
        <w:t xml:space="preserve">Cloud Object Storage: </w:t>
      </w:r>
      <w:r>
        <w:t>Storage costs of $0.02–$0.04 per GB/month on cloud object storage, compared to $0.10–$0.50 per GB/month for proprietary storage on Teradata, Oracle, or SAN arrays. This represents a 5–25x cost reduction for storage alone.</w:t>
      </w:r>
    </w:p>
    <w:p w14:paraId="1133704D" w14:textId="77777777" w:rsidR="00D50EC6" w:rsidRDefault="00000000" w:rsidP="00CE11A6">
      <w:pPr>
        <w:pStyle w:val="ListParagraph"/>
        <w:numPr>
          <w:ilvl w:val="0"/>
          <w:numId w:val="1"/>
        </w:numPr>
        <w:jc w:val="both"/>
      </w:pPr>
      <w:r>
        <w:rPr>
          <w:b/>
        </w:rPr>
        <w:t xml:space="preserve">No Vendor Lock-In: </w:t>
      </w:r>
      <w:r>
        <w:t>Snowflake’s open Apache Iceberg table format ensures data remains portable and accessible by any compatible engine, eliminating the migration costs and risks associated with proprietary data formats.</w:t>
      </w:r>
    </w:p>
    <w:p w14:paraId="7D67F144" w14:textId="77777777" w:rsidR="00D50EC6" w:rsidRDefault="00000000">
      <w:pPr>
        <w:pStyle w:val="Heading2"/>
      </w:pPr>
      <w:bookmarkStart w:id="12" w:name="_Toc221636170"/>
      <w:r>
        <w:rPr>
          <w:color w:val="0F4761"/>
        </w:rPr>
        <w:t>4.3 Unified Platform Economics</w:t>
      </w:r>
      <w:bookmarkEnd w:id="12"/>
    </w:p>
    <w:p w14:paraId="179FBFDB" w14:textId="77777777" w:rsidR="00D50EC6" w:rsidRDefault="00000000" w:rsidP="00CE11A6">
      <w:pPr>
        <w:spacing w:after="120"/>
        <w:jc w:val="both"/>
      </w:pPr>
      <w:r>
        <w:t>Snowflake’s unified Data Cloud architecture consolidates data engineering, SQL analytics, data science, and ML/AI workloads onto a single platform, eliminating the cost and complexity of managing multiple specialized tools.</w:t>
      </w:r>
    </w:p>
    <w:p w14:paraId="668FFBAA" w14:textId="77777777" w:rsidR="00D50EC6" w:rsidRDefault="00000000">
      <w:pPr>
        <w:pStyle w:val="ListParagraph"/>
        <w:numPr>
          <w:ilvl w:val="0"/>
          <w:numId w:val="1"/>
        </w:numPr>
      </w:pPr>
      <w:r>
        <w:rPr>
          <w:b/>
        </w:rPr>
        <w:t xml:space="preserve">Platform Consolidation: </w:t>
      </w:r>
      <w:r>
        <w:t>Replacing 5–7 separate platforms (EDW + ETL + Hadoop + BI + ML + orchestration) with a single Snowflake Data Cloud eliminates redundant licensing, integration middleware, and cross-platform data movement costs that typically consume 20–30% of total data infrastructure budgets.</w:t>
      </w:r>
    </w:p>
    <w:p w14:paraId="3CB6910F" w14:textId="77777777" w:rsidR="00D50EC6" w:rsidRDefault="00000000">
      <w:pPr>
        <w:pStyle w:val="ListParagraph"/>
        <w:numPr>
          <w:ilvl w:val="0"/>
          <w:numId w:val="1"/>
        </w:numPr>
      </w:pPr>
      <w:r>
        <w:rPr>
          <w:b/>
        </w:rPr>
        <w:t xml:space="preserve">Unified Governance: </w:t>
      </w:r>
      <w:r>
        <w:t>Snowflake Horizon</w:t>
      </w:r>
      <w:proofErr w:type="spellStart"/>
      <w:r/>
      <w:proofErr w:type="spellEnd"/>
      <w:r>
        <w:t xml:space="preserve"> provides a single governance layer across all data assets and workloads, replacing separate governance tools and processes for each legacy platform. This consolidation reduces compliance overhead by 40–60%.</w:t>
      </w:r>
    </w:p>
    <w:p w14:paraId="42E7C04B" w14:textId="77777777" w:rsidR="00D50EC6" w:rsidRDefault="00000000">
      <w:pPr>
        <w:pStyle w:val="Heading1"/>
      </w:pPr>
      <w:bookmarkStart w:id="13" w:name="_Toc221636171"/>
      <w:r>
        <w:rPr>
          <w:color w:val="0F4761"/>
        </w:rPr>
        <w:t>5. Head-to-Head 3-Year TCO Comparison</w:t>
      </w:r>
      <w:bookmarkEnd w:id="13"/>
    </w:p>
    <w:p w14:paraId="4FC8E0E6" w14:textId="77777777" w:rsidR="00D50EC6" w:rsidRDefault="00000000" w:rsidP="0090303D">
      <w:pPr>
        <w:spacing w:after="120"/>
        <w:jc w:val="both"/>
      </w:pPr>
      <w:r>
        <w:t>The following comparison presents a consolidated 3-year TCO analysis for a representative enterprise migration from a multi-platform legacy stack to Snowflake Data Cloud with Mastech Digital. The legacy baseline assumes a Teradata EDW, Informatica ETL, Hadoop data lake, SAS analytics, and dedicated operations teams.</w:t>
      </w:r>
    </w:p>
    <w:p w14:paraId="6868C7B8" w14:textId="77777777" w:rsidR="00D50EC6" w:rsidRDefault="00000000">
      <w:pPr>
        <w:pStyle w:val="Heading2"/>
      </w:pPr>
      <w:bookmarkStart w:id="14" w:name="_Toc221636172"/>
      <w:r>
        <w:rPr>
          <w:color w:val="0F4761"/>
        </w:rPr>
        <w:t>5.1 Cost Category Comparison</w:t>
      </w:r>
      <w:bookmarkEnd w:id="14"/>
    </w:p>
    <w:p w14:paraId="16C2DAD4" w14:textId="77777777" w:rsidR="00D50EC6" w:rsidRDefault="00000000" w:rsidP="000B7E01">
      <w:pPr>
        <w:pStyle w:val="ListParagraph"/>
        <w:numPr>
          <w:ilvl w:val="0"/>
          <w:numId w:val="1"/>
        </w:numPr>
        <w:jc w:val="both"/>
      </w:pPr>
      <w:r>
        <w:rPr>
          <w:b/>
        </w:rPr>
        <w:t xml:space="preserve">Software Licensing – 55–65% Savings: </w:t>
      </w:r>
      <w:r>
        <w:t xml:space="preserve">Legacy annual licensing of $3.5M–$8M reduced to Snowflake consumption of $1.2M–$3.5M. Elimination of per-node, per-core, and per-seat licensing models in </w:t>
      </w:r>
      <w:proofErr w:type="spellStart"/>
      <w:r>
        <w:t>favor</w:t>
      </w:r>
      <w:proofErr w:type="spellEnd"/>
      <w:r>
        <w:t xml:space="preserve"> of usage-based pricing. 3-year savings: $6.9M–$13.5M.</w:t>
      </w:r>
    </w:p>
    <w:p w14:paraId="4C51A998" w14:textId="77777777" w:rsidR="00D50EC6" w:rsidRDefault="00000000" w:rsidP="000B7E01">
      <w:pPr>
        <w:pStyle w:val="ListParagraph"/>
        <w:numPr>
          <w:ilvl w:val="0"/>
          <w:numId w:val="1"/>
        </w:numPr>
        <w:jc w:val="both"/>
      </w:pPr>
      <w:r>
        <w:rPr>
          <w:b/>
        </w:rPr>
        <w:t xml:space="preserve">Infrastructure – 60–75% Savings: </w:t>
      </w:r>
      <w:r>
        <w:t xml:space="preserve">Legacy infrastructure costs of $1.5M–$4M annually reduced to cloud-optimized compute and storage at $0.5M–$1.5M annually. Elimination of hardware refresh cycles and data </w:t>
      </w:r>
      <w:proofErr w:type="spellStart"/>
      <w:r>
        <w:t>center</w:t>
      </w:r>
      <w:proofErr w:type="spellEnd"/>
      <w:r>
        <w:t xml:space="preserve"> overhead. 3-year savings: $3.0M–$7.5M.</w:t>
      </w:r>
    </w:p>
    <w:p w14:paraId="73E3F6FF" w14:textId="77777777" w:rsidR="00D50EC6" w:rsidRDefault="00000000" w:rsidP="000B7E01">
      <w:pPr>
        <w:pStyle w:val="ListParagraph"/>
        <w:numPr>
          <w:ilvl w:val="0"/>
          <w:numId w:val="1"/>
        </w:numPr>
        <w:jc w:val="both"/>
      </w:pPr>
      <w:r>
        <w:rPr>
          <w:b/>
        </w:rPr>
        <w:t xml:space="preserve">Operations – 40–60% Savings: </w:t>
      </w:r>
      <w:r>
        <w:t>Legacy operations spend of $1.5M–$3.5M annually reduced to $0.7M–$1.8M through Mastech Digital’s Autonomous Platform Operations. AI-driven automation replaces manual monitoring, tuning, and incident response. 3-year savings: $2.4M–$5.1M.</w:t>
      </w:r>
    </w:p>
    <w:p w14:paraId="0B87791E" w14:textId="77777777" w:rsidR="00D50EC6" w:rsidRDefault="00000000" w:rsidP="000B7E01">
      <w:pPr>
        <w:pStyle w:val="ListParagraph"/>
        <w:numPr>
          <w:ilvl w:val="0"/>
          <w:numId w:val="1"/>
        </w:numPr>
        <w:jc w:val="both"/>
      </w:pPr>
      <w:r>
        <w:rPr>
          <w:b/>
        </w:rPr>
        <w:t xml:space="preserve">Talent &amp; Skills – 30–50% Savings: </w:t>
      </w:r>
      <w:r>
        <w:t>Premium costs for scarce legacy skills ($150K–$220K for Teradata DBAs, $160K–$200K for Informatica specialists) replaced by readily available Snowflake/Snowpark talent at market rates ($130K–$170K). Broader talent pool reduces recruitment timelines from 3–6 months to 2–4 weeks. 3-year savings: $0.9M–$2.5M.</w:t>
      </w:r>
    </w:p>
    <w:p w14:paraId="673E3DB3" w14:textId="77777777" w:rsidR="00D50EC6" w:rsidRDefault="00000000" w:rsidP="00A653F6">
      <w:pPr>
        <w:pStyle w:val="ListParagraph"/>
        <w:numPr>
          <w:ilvl w:val="0"/>
          <w:numId w:val="1"/>
        </w:numPr>
        <w:jc w:val="both"/>
      </w:pPr>
      <w:r>
        <w:rPr>
          <w:b/>
        </w:rPr>
        <w:t xml:space="preserve">Opportunity Cost – Significant but Variable: </w:t>
      </w:r>
      <w:r>
        <w:t>Acceleration of data-driven initiatives conservatively valued at $1M–$5M over 3 years through faster time-to-market for analytics products, ML model deployment, and data-driven process optimization.</w:t>
      </w:r>
    </w:p>
    <w:p w14:paraId="59D1F902" w14:textId="77777777" w:rsidR="00D50EC6" w:rsidRDefault="00000000">
      <w:pPr>
        <w:pStyle w:val="Heading2"/>
      </w:pPr>
      <w:bookmarkStart w:id="15" w:name="_Toc221636173"/>
      <w:r>
        <w:rPr>
          <w:color w:val="0F4761"/>
        </w:rPr>
        <w:t>5.2 Aggregate 3-Year TCO Summary</w:t>
      </w:r>
      <w:bookmarkEnd w:id="15"/>
    </w:p>
    <w:p w14:paraId="674A9AAA" w14:textId="77777777" w:rsidR="00D50EC6" w:rsidRDefault="00000000">
      <w:pPr>
        <w:spacing w:after="120"/>
      </w:pPr>
      <w:r>
        <w:t>For a representative enterprise with the legacy stack described above, the 3-year TCO comparison yields the following results.</w:t>
      </w:r>
    </w:p>
    <w:p w14:paraId="341C5CE7" w14:textId="77777777" w:rsidR="00D50EC6" w:rsidRDefault="00000000">
      <w:pPr>
        <w:pStyle w:val="ListParagraph"/>
        <w:numPr>
          <w:ilvl w:val="0"/>
          <w:numId w:val="1"/>
        </w:numPr>
      </w:pPr>
      <w:r>
        <w:rPr>
          <w:b/>
        </w:rPr>
        <w:t xml:space="preserve">Legacy Stack 3-Year TCO: </w:t>
      </w:r>
      <w:r>
        <w:t>$19.5M–$46.5M (depending on scale and platform mix)</w:t>
      </w:r>
    </w:p>
    <w:p w14:paraId="3F24C809" w14:textId="77777777" w:rsidR="00D50EC6" w:rsidRDefault="00000000">
      <w:pPr>
        <w:pStyle w:val="ListParagraph"/>
        <w:numPr>
          <w:ilvl w:val="0"/>
          <w:numId w:val="1"/>
        </w:numPr>
      </w:pPr>
      <w:r>
        <w:rPr>
          <w:b/>
        </w:rPr>
        <w:t xml:space="preserve">Snowflake + Mastech 3-Year TCO: </w:t>
      </w:r>
      <w:r>
        <w:t>$7.2M–$20.4M (including migration investment)</w:t>
      </w:r>
    </w:p>
    <w:p w14:paraId="011ACB01" w14:textId="77777777" w:rsidR="00D50EC6" w:rsidRDefault="00000000">
      <w:pPr>
        <w:pStyle w:val="ListParagraph"/>
        <w:numPr>
          <w:ilvl w:val="0"/>
          <w:numId w:val="1"/>
        </w:numPr>
      </w:pPr>
      <w:r>
        <w:rPr>
          <w:b/>
        </w:rPr>
        <w:t xml:space="preserve">Net 3-Year Savings: </w:t>
      </w:r>
      <w:r>
        <w:t>$12.3M–$26.1M</w:t>
      </w:r>
    </w:p>
    <w:p w14:paraId="7BEA8EA5" w14:textId="77777777" w:rsidR="00D50EC6" w:rsidRDefault="00000000">
      <w:pPr>
        <w:pStyle w:val="ListParagraph"/>
        <w:numPr>
          <w:ilvl w:val="0"/>
          <w:numId w:val="1"/>
        </w:numPr>
      </w:pPr>
      <w:r>
        <w:rPr>
          <w:b/>
        </w:rPr>
        <w:t xml:space="preserve">Percentage Reduction: </w:t>
      </w:r>
      <w:r>
        <w:t>40–63% overall TCO reduction</w:t>
      </w:r>
    </w:p>
    <w:p w14:paraId="706F535D" w14:textId="77777777" w:rsidR="00D50EC6" w:rsidRDefault="00000000">
      <w:pPr>
        <w:pStyle w:val="Heading1"/>
      </w:pPr>
      <w:bookmarkStart w:id="16" w:name="_Toc221636174"/>
      <w:r>
        <w:rPr>
          <w:color w:val="0F4761"/>
        </w:rPr>
        <w:t>6. Hidden Costs of Legacy Platforms</w:t>
      </w:r>
      <w:bookmarkEnd w:id="16"/>
    </w:p>
    <w:p w14:paraId="79DE1317" w14:textId="77777777" w:rsidR="00D50EC6" w:rsidRDefault="00000000" w:rsidP="006D22F0">
      <w:pPr>
        <w:spacing w:after="120"/>
        <w:jc w:val="both"/>
      </w:pPr>
      <w:r>
        <w:t>Conventional TCO analyses frequently understate the true cost of legacy platforms by excluding several significant cost categories that do not appear as discrete budget line items. Mastech Digital’s comprehensive TCO framework includes these hidden costs to provide a complete and accurate comparison.</w:t>
      </w:r>
    </w:p>
    <w:p w14:paraId="578F4061" w14:textId="77777777" w:rsidR="00D50EC6" w:rsidRDefault="00000000">
      <w:pPr>
        <w:pStyle w:val="Heading2"/>
      </w:pPr>
      <w:bookmarkStart w:id="17" w:name="_Toc221636175"/>
      <w:r>
        <w:rPr>
          <w:color w:val="0F4761"/>
        </w:rPr>
        <w:t>6.1 Technical Debt</w:t>
      </w:r>
      <w:bookmarkEnd w:id="17"/>
    </w:p>
    <w:p w14:paraId="2DA5C027" w14:textId="77777777" w:rsidR="00D50EC6" w:rsidRDefault="00000000" w:rsidP="006D22F0">
      <w:pPr>
        <w:spacing w:after="120"/>
        <w:jc w:val="both"/>
      </w:pPr>
      <w:r>
        <w:t>Legacy platforms accumulate technical debt through years of workarounds, undocumented customizations, and deferred maintenance. This debt manifests as increased fragility, longer change cycles, and escalating incident rates. Studies indicate that enterprises spend 40–60% of their IT budgets maintaining existing systems rather than building new capabilities, with legacy data platforms being primary contributors.</w:t>
      </w:r>
    </w:p>
    <w:p w14:paraId="4AC955C2" w14:textId="77777777" w:rsidR="00D50EC6" w:rsidRDefault="00000000" w:rsidP="006D22F0">
      <w:pPr>
        <w:pStyle w:val="ListParagraph"/>
        <w:numPr>
          <w:ilvl w:val="0"/>
          <w:numId w:val="1"/>
        </w:numPr>
        <w:jc w:val="both"/>
      </w:pPr>
      <w:r>
        <w:rPr>
          <w:b/>
        </w:rPr>
        <w:t xml:space="preserve">Maintenance Overhead: </w:t>
      </w:r>
      <w:r>
        <w:t>Each year of deferred modernization adds 8–15% to annual maintenance costs as systems become more complex and brittle. Over a 5-year delay, this compounds to 40–75% increased maintenance spending.</w:t>
      </w:r>
    </w:p>
    <w:p w14:paraId="28EBD928" w14:textId="77777777" w:rsidR="00D50EC6" w:rsidRDefault="00000000" w:rsidP="006D22F0">
      <w:pPr>
        <w:pStyle w:val="ListParagraph"/>
        <w:numPr>
          <w:ilvl w:val="0"/>
          <w:numId w:val="1"/>
        </w:numPr>
        <w:jc w:val="both"/>
      </w:pPr>
      <w:r>
        <w:rPr>
          <w:b/>
        </w:rPr>
        <w:t xml:space="preserve">Change Velocity Impact: </w:t>
      </w:r>
      <w:r>
        <w:t>Feature delivery speed on legacy platforms degrades by 10–20% annually as technical debt accumulates, directly impacting the organization’s ability to respond to market changes and competitive threats.</w:t>
      </w:r>
    </w:p>
    <w:p w14:paraId="7AF699A9" w14:textId="77777777" w:rsidR="00D50EC6" w:rsidRDefault="00000000">
      <w:pPr>
        <w:pStyle w:val="Heading2"/>
      </w:pPr>
      <w:bookmarkStart w:id="18" w:name="_Toc221636176"/>
      <w:r>
        <w:rPr>
          <w:color w:val="0F4761"/>
        </w:rPr>
        <w:t>6.2 Talent Scarcity Premium</w:t>
      </w:r>
      <w:bookmarkEnd w:id="18"/>
    </w:p>
    <w:p w14:paraId="6171E932" w14:textId="29AA72A9" w:rsidR="00D50EC6" w:rsidRDefault="00000000" w:rsidP="002B3730">
      <w:pPr>
        <w:spacing w:after="120"/>
        <w:jc w:val="both"/>
      </w:pPr>
      <w:r>
        <w:t xml:space="preserve">The talent market for legacy platform skills is contracting rapidly as experienced professionals </w:t>
      </w:r>
      <w:r w:rsidR="002B3730">
        <w:t>retire,</w:t>
      </w:r>
      <w:r>
        <w:t xml:space="preserve"> and new graduates focus on modern cloud-native technologies. This scarcity drives premium compensation, extended hiring timelines, and increased reliance on expensive contractors.</w:t>
      </w:r>
    </w:p>
    <w:p w14:paraId="6A0C064B" w14:textId="77777777" w:rsidR="00D50EC6" w:rsidRDefault="00000000">
      <w:pPr>
        <w:pStyle w:val="ListParagraph"/>
        <w:numPr>
          <w:ilvl w:val="0"/>
          <w:numId w:val="1"/>
        </w:numPr>
      </w:pPr>
      <w:r>
        <w:rPr>
          <w:b/>
        </w:rPr>
        <w:t xml:space="preserve">Compensation Inflation: </w:t>
      </w:r>
      <w:r>
        <w:t>Teradata DBA compensation has increased 15–25% over the past 3 years due to shrinking talent pools, with senior specialists commanding $180K–$220K+ in competitive markets. Meanwhile, Snowflake/Snowpark engineer compensation has stabilized at $130K–$170K as the talent pool expands.</w:t>
      </w:r>
    </w:p>
    <w:p w14:paraId="6A5A50FF" w14:textId="77777777" w:rsidR="00D50EC6" w:rsidRDefault="00000000">
      <w:pPr>
        <w:pStyle w:val="ListParagraph"/>
        <w:numPr>
          <w:ilvl w:val="0"/>
          <w:numId w:val="1"/>
        </w:numPr>
      </w:pPr>
      <w:r>
        <w:rPr>
          <w:b/>
        </w:rPr>
        <w:t xml:space="preserve">Contractor Dependency: </w:t>
      </w:r>
      <w:r>
        <w:t>Organizations increasingly rely on contractors at $150–$250/hour for legacy platform expertise, adding $300K–$600K+ annually per contractor. This dependency creates knowledge concentration risk and unsustainable cost escalation.</w:t>
      </w:r>
    </w:p>
    <w:p w14:paraId="25E23A1A" w14:textId="77777777" w:rsidR="00D50EC6" w:rsidRDefault="00000000">
      <w:pPr>
        <w:pStyle w:val="Heading2"/>
      </w:pPr>
      <w:bookmarkStart w:id="19" w:name="_Toc221636177"/>
      <w:r>
        <w:rPr>
          <w:color w:val="0F4761"/>
        </w:rPr>
        <w:t>6.3 Innovation Opportunity Cost</w:t>
      </w:r>
      <w:bookmarkEnd w:id="19"/>
    </w:p>
    <w:p w14:paraId="72DBCDC3" w14:textId="77777777" w:rsidR="00D50EC6" w:rsidRDefault="00000000" w:rsidP="00927C57">
      <w:pPr>
        <w:spacing w:after="120"/>
        <w:jc w:val="both"/>
      </w:pPr>
      <w:r>
        <w:t>Legacy platforms constrain an organization’s ability to pursue modern data initiatives including real-time analytics, machine learning, and AI. The opportunity cost of these foregone initiatives is often the largest hidden cost category.</w:t>
      </w:r>
    </w:p>
    <w:p w14:paraId="75719544" w14:textId="77777777" w:rsidR="00D50EC6" w:rsidRDefault="00000000" w:rsidP="00927C57">
      <w:pPr>
        <w:pStyle w:val="ListParagraph"/>
        <w:numPr>
          <w:ilvl w:val="0"/>
          <w:numId w:val="1"/>
        </w:numPr>
        <w:jc w:val="both"/>
      </w:pPr>
      <w:r>
        <w:rPr>
          <w:b/>
        </w:rPr>
        <w:t xml:space="preserve">Delayed AI/ML Adoption: </w:t>
      </w:r>
      <w:r>
        <w:t>Organizations on legacy platforms are 2–3 years behind in AI/ML maturity compared to peers on modern platforms. This gap translates to measurable competitive disadvantage in industries where data-driven differentiation determines market share.</w:t>
      </w:r>
    </w:p>
    <w:p w14:paraId="21785368" w14:textId="77777777" w:rsidR="00D50EC6" w:rsidRDefault="00000000" w:rsidP="00927C57">
      <w:pPr>
        <w:pStyle w:val="ListParagraph"/>
        <w:numPr>
          <w:ilvl w:val="0"/>
          <w:numId w:val="1"/>
        </w:numPr>
        <w:jc w:val="both"/>
      </w:pPr>
      <w:r>
        <w:rPr>
          <w:b/>
        </w:rPr>
        <w:t xml:space="preserve">Revenue Impact: </w:t>
      </w:r>
      <w:r>
        <w:t>McKinsey estimates that data-driven organizations are 23x more likely to acquire customers, 6x more likely to retain them, and 19x more likely to be profitable. Legacy platform limitations directly impede an organization’s ability to achieve these outcomes.</w:t>
      </w:r>
    </w:p>
    <w:p w14:paraId="20248072" w14:textId="77777777" w:rsidR="00D50EC6" w:rsidRDefault="00000000">
      <w:pPr>
        <w:pStyle w:val="Heading2"/>
      </w:pPr>
      <w:bookmarkStart w:id="20" w:name="_Toc221636178"/>
      <w:r>
        <w:rPr>
          <w:color w:val="0F4761"/>
        </w:rPr>
        <w:t>6.4 Compliance and Security Risk</w:t>
      </w:r>
      <w:bookmarkEnd w:id="20"/>
    </w:p>
    <w:p w14:paraId="336049B7" w14:textId="77777777" w:rsidR="00D50EC6" w:rsidRDefault="00000000" w:rsidP="004D628D">
      <w:pPr>
        <w:spacing w:after="120"/>
        <w:jc w:val="both"/>
      </w:pPr>
      <w:r>
        <w:t>Aging platforms with end-of-life components create escalating compliance and security exposure. Regulatory frameworks including GDPR, CCPA, SOX, and industry-specific requirements (HIPAA, PCI-DSS) demand data governance capabilities that legacy platforms struggle to provide.</w:t>
      </w:r>
    </w:p>
    <w:p w14:paraId="0FF8C315" w14:textId="77777777" w:rsidR="00D50EC6" w:rsidRDefault="00000000" w:rsidP="008D5217">
      <w:pPr>
        <w:pStyle w:val="ListParagraph"/>
        <w:numPr>
          <w:ilvl w:val="0"/>
          <w:numId w:val="1"/>
        </w:numPr>
        <w:jc w:val="both"/>
      </w:pPr>
      <w:r>
        <w:rPr>
          <w:b/>
        </w:rPr>
        <w:t xml:space="preserve">Regulatory Penalty Exposure: </w:t>
      </w:r>
      <w:r>
        <w:t>GDPR fines of up to 4% of global annual revenue, HIPAA penalties of $100–$50K per violation, and SOX non-compliance costs create existential financial risk. Legacy platforms’ limited audit trails, inconsistent access controls, and fragmented governance increase this exposure significantly.</w:t>
      </w:r>
    </w:p>
    <w:p w14:paraId="5560A8B0" w14:textId="77777777" w:rsidR="00D50EC6" w:rsidRDefault="00000000" w:rsidP="008D5217">
      <w:pPr>
        <w:pStyle w:val="ListParagraph"/>
        <w:numPr>
          <w:ilvl w:val="0"/>
          <w:numId w:val="1"/>
        </w:numPr>
        <w:jc w:val="both"/>
      </w:pPr>
      <w:r>
        <w:rPr>
          <w:b/>
        </w:rPr>
        <w:t xml:space="preserve">Security Vulnerability: </w:t>
      </w:r>
      <w:r>
        <w:t>End-of-support legacy components no longer receive security patches, creating known vulnerability exposure. The average cost of a data breach in 2025 is $4.88M (IBM), with legacy infrastructure being a primary attack vector.</w:t>
      </w:r>
    </w:p>
    <w:p w14:paraId="78343A48" w14:textId="77777777" w:rsidR="00D50EC6" w:rsidRDefault="00000000">
      <w:pPr>
        <w:pStyle w:val="Heading1"/>
      </w:pPr>
      <w:bookmarkStart w:id="21" w:name="_Toc221636179"/>
      <w:r>
        <w:rPr>
          <w:color w:val="0F4761"/>
        </w:rPr>
        <w:t>7. Migration Investment vs. Long-term Savings</w:t>
      </w:r>
      <w:bookmarkEnd w:id="21"/>
    </w:p>
    <w:p w14:paraId="06ACCDE7" w14:textId="77777777" w:rsidR="00D50EC6" w:rsidRDefault="00000000" w:rsidP="00381CE2">
      <w:pPr>
        <w:spacing w:after="120"/>
        <w:jc w:val="both"/>
      </w:pPr>
      <w:r>
        <w:t>A critical element of the TCO comparison is the breakeven analysis that demonstrates when the initial migration investment is recovered through ongoing savings. Mastech Digital’s SLM-powered migration methodology accelerates both the migration timeline and the time to breakeven compared to traditional migration approaches.</w:t>
      </w:r>
    </w:p>
    <w:p w14:paraId="2E63C034" w14:textId="77777777" w:rsidR="00D50EC6" w:rsidRDefault="00000000">
      <w:pPr>
        <w:pStyle w:val="Heading2"/>
      </w:pPr>
      <w:bookmarkStart w:id="22" w:name="_Toc221636180"/>
      <w:r>
        <w:rPr>
          <w:color w:val="0F4761"/>
        </w:rPr>
        <w:t>7.1 Migration Investment Components</w:t>
      </w:r>
      <w:bookmarkEnd w:id="22"/>
    </w:p>
    <w:p w14:paraId="43D167F4" w14:textId="20E3C16E" w:rsidR="00D50EC6" w:rsidRDefault="00000000" w:rsidP="00381CE2">
      <w:pPr>
        <w:pStyle w:val="ListParagraph"/>
        <w:numPr>
          <w:ilvl w:val="0"/>
          <w:numId w:val="1"/>
        </w:numPr>
        <w:jc w:val="both"/>
      </w:pPr>
      <w:r>
        <w:rPr>
          <w:b/>
        </w:rPr>
        <w:t xml:space="preserve">Assessment and Planning: </w:t>
      </w:r>
      <w:r>
        <w:t xml:space="preserve">5–10% of total migration investment. Mastech Digital’s AI-accelerated discovery and assessment </w:t>
      </w:r>
      <w:r w:rsidR="0053629B">
        <w:t>reduce</w:t>
      </w:r>
      <w:r>
        <w:t xml:space="preserve"> this phase from 8–12 weeks to 2–4 weeks.</w:t>
      </w:r>
    </w:p>
    <w:p w14:paraId="538DC60B" w14:textId="77777777" w:rsidR="00D50EC6" w:rsidRDefault="00000000" w:rsidP="00381CE2">
      <w:pPr>
        <w:pStyle w:val="ListParagraph"/>
        <w:numPr>
          <w:ilvl w:val="0"/>
          <w:numId w:val="1"/>
        </w:numPr>
        <w:jc w:val="both"/>
      </w:pPr>
      <w:r>
        <w:rPr>
          <w:b/>
        </w:rPr>
        <w:t xml:space="preserve">Code Conversion and Migration: </w:t>
      </w:r>
      <w:r>
        <w:t>40–55% of total migration investment. SLM automation converts 70–85% of legacy code automatically, with human review and refinement for complex business logic. This represents a 50–70% cost reduction compared to manual migration approaches.</w:t>
      </w:r>
    </w:p>
    <w:p w14:paraId="00F37C00" w14:textId="77777777" w:rsidR="00D50EC6" w:rsidRDefault="00000000" w:rsidP="00381CE2">
      <w:pPr>
        <w:pStyle w:val="ListParagraph"/>
        <w:numPr>
          <w:ilvl w:val="0"/>
          <w:numId w:val="1"/>
        </w:numPr>
        <w:jc w:val="both"/>
      </w:pPr>
      <w:r>
        <w:rPr>
          <w:b/>
        </w:rPr>
        <w:t xml:space="preserve">Testing and Validation: </w:t>
      </w:r>
      <w:r>
        <w:t>20–30% of total migration investment. Automated regression testing and data validation frameworks ensure 100% business logic fidelity while reducing testing effort by 40–60%.</w:t>
      </w:r>
    </w:p>
    <w:p w14:paraId="17E8C3F9" w14:textId="77777777" w:rsidR="00D50EC6" w:rsidRDefault="00000000" w:rsidP="00381CE2">
      <w:pPr>
        <w:pStyle w:val="ListParagraph"/>
        <w:numPr>
          <w:ilvl w:val="0"/>
          <w:numId w:val="1"/>
        </w:numPr>
        <w:jc w:val="both"/>
      </w:pPr>
      <w:r>
        <w:rPr>
          <w:b/>
        </w:rPr>
        <w:t xml:space="preserve">Change Management and Training: </w:t>
      </w:r>
      <w:r>
        <w:t>10–15% of total migration investment. Comprehensive user enablement programs ensure rapid adoption and minimize productivity disruption during transition.</w:t>
      </w:r>
    </w:p>
    <w:p w14:paraId="57B2F53C" w14:textId="77777777" w:rsidR="00D50EC6" w:rsidRDefault="00000000">
      <w:pPr>
        <w:pStyle w:val="Heading2"/>
      </w:pPr>
      <w:bookmarkStart w:id="23" w:name="_Toc221636181"/>
      <w:r>
        <w:rPr>
          <w:color w:val="0F4761"/>
        </w:rPr>
        <w:t>7.2 Breakeven Analysis</w:t>
      </w:r>
      <w:bookmarkEnd w:id="23"/>
    </w:p>
    <w:p w14:paraId="0776D29C" w14:textId="77777777" w:rsidR="00D50EC6" w:rsidRDefault="00000000" w:rsidP="001D7329">
      <w:pPr>
        <w:spacing w:after="120"/>
        <w:jc w:val="both"/>
      </w:pPr>
      <w:r>
        <w:t>Based on Mastech Digital’s portfolio of enterprise Snowflake migrations, the breakeven point—where cumulative savings from legacy cost elimination exceed the total migration investment—typically occurs within 9–18 months of project initiation.</w:t>
      </w:r>
    </w:p>
    <w:p w14:paraId="747A5155" w14:textId="77777777" w:rsidR="00D50EC6" w:rsidRDefault="00000000" w:rsidP="001D7329">
      <w:pPr>
        <w:pStyle w:val="ListParagraph"/>
        <w:numPr>
          <w:ilvl w:val="0"/>
          <w:numId w:val="1"/>
        </w:numPr>
        <w:jc w:val="both"/>
      </w:pPr>
      <w:r>
        <w:rPr>
          <w:b/>
        </w:rPr>
        <w:t xml:space="preserve">Small-Scale Migration (&lt; 50 TB, &lt; $2M legacy TCO): </w:t>
      </w:r>
      <w:r>
        <w:t>Breakeven in 6–10 months. Migration investment of $500K–$1.2M recovered through rapid legacy cost elimination and immediate operational efficiency gains.</w:t>
      </w:r>
    </w:p>
    <w:p w14:paraId="138F1F98" w14:textId="77777777" w:rsidR="00D50EC6" w:rsidRDefault="00000000" w:rsidP="001D7329">
      <w:pPr>
        <w:pStyle w:val="ListParagraph"/>
        <w:numPr>
          <w:ilvl w:val="0"/>
          <w:numId w:val="1"/>
        </w:numPr>
        <w:jc w:val="both"/>
      </w:pPr>
      <w:r>
        <w:rPr>
          <w:b/>
        </w:rPr>
        <w:t xml:space="preserve">Mid-Scale Migration (50–500 TB, $2M–$8M legacy TCO): </w:t>
      </w:r>
      <w:r>
        <w:t>Breakeven in 10–16 months. Migration investment of $1.5M–$4M offset by $3M–$5M in first-year cost reductions and productivity improvements.</w:t>
      </w:r>
    </w:p>
    <w:p w14:paraId="74BBCB7A" w14:textId="77777777" w:rsidR="00D50EC6" w:rsidRDefault="00000000" w:rsidP="001D7329">
      <w:pPr>
        <w:pStyle w:val="ListParagraph"/>
        <w:numPr>
          <w:ilvl w:val="0"/>
          <w:numId w:val="1"/>
        </w:numPr>
        <w:jc w:val="both"/>
      </w:pPr>
      <w:r>
        <w:rPr>
          <w:b/>
        </w:rPr>
        <w:t xml:space="preserve">Large-Scale Migration (&gt; 500 TB, &gt; $8M legacy TCO): </w:t>
      </w:r>
      <w:r>
        <w:t>Breakeven in 14–20 months. Migration investment of $3M–$8M justified by $5M–$12M+ in annual savings once fully operational. The larger scale magnifies both the absolute savings and the strategic value of modernization.</w:t>
      </w:r>
    </w:p>
    <w:p w14:paraId="637A0F8A" w14:textId="77777777" w:rsidR="00D50EC6" w:rsidRDefault="00000000" w:rsidP="00A92A70">
      <w:pPr>
        <w:spacing w:after="120"/>
        <w:jc w:val="both"/>
      </w:pPr>
      <w:r>
        <w:t xml:space="preserve">Post-breakeven, the ongoing savings compound as legacy platforms are fully decommissioned, Snowflake utilization optimizes through Mastech’s Autonomous Platform Operations, and new value streams (ML/AI, real-time analytics) generate </w:t>
      </w:r>
      <w:r>
        <w:t>incremental returns. Year 2 and Year 3 savings typically exceed the initial migration investment by 2–3x.</w:t>
      </w:r>
    </w:p>
    <w:p w14:paraId="5CB303A9" w14:textId="77777777" w:rsidR="00D50EC6" w:rsidRDefault="00000000">
      <w:pPr>
        <w:pStyle w:val="Heading1"/>
      </w:pPr>
      <w:bookmarkStart w:id="24" w:name="_Toc221636182"/>
      <w:r>
        <w:rPr>
          <w:color w:val="0F4761"/>
        </w:rPr>
        <w:t>8. Conclusion</w:t>
      </w:r>
      <w:bookmarkEnd w:id="24"/>
    </w:p>
    <w:p w14:paraId="5AA06520" w14:textId="77777777" w:rsidR="00D50EC6" w:rsidRDefault="00000000" w:rsidP="004B306E">
      <w:pPr>
        <w:spacing w:after="120"/>
        <w:jc w:val="both"/>
      </w:pPr>
      <w:r>
        <w:t>The TCO comparison presented in this document demonstrates a clear and compelling economic case for migrating from legacy data platforms to Snowflake Data Cloud with Mastech Digital. Across every cost category—licensing, infrastructure, operations, talent, and opportunity cost—the Snowflake platform delivers substantial savings that compound over time.</w:t>
      </w:r>
    </w:p>
    <w:p w14:paraId="56546AB2" w14:textId="77777777" w:rsidR="00D50EC6" w:rsidRDefault="00000000" w:rsidP="004B306E">
      <w:pPr>
        <w:spacing w:after="120"/>
        <w:jc w:val="both"/>
      </w:pPr>
      <w:r>
        <w:t>The 40–60% direct TCO reduction, combined with hidden cost avoidance in technical debt, talent scarcity, and innovation opportunity cost, yields total economic benefit of 60–80% when all factors are included. With breakeven timelines of 9–18 months and 3-year net savings of $12M–$26M for representative enterprise deployments, the financial case for modernization is unambiguous.</w:t>
      </w:r>
    </w:p>
    <w:p w14:paraId="7F8E01FB" w14:textId="77777777" w:rsidR="00D50EC6" w:rsidRDefault="00000000" w:rsidP="004B306E">
      <w:pPr>
        <w:spacing w:after="120"/>
        <w:jc w:val="both"/>
      </w:pPr>
      <w:r>
        <w:t>Mastech Digital sales teams should leverage this TCO framework in every prospect engagement, customizing the analysis with client-specific cost data gathered during discovery. The combination of rigorous financial analysis, validated benchmark data, and Mastech’s proven delivery methodology creates a powerful narrative that converts economic buyers and accelerates procurement decisions.</w:t>
      </w:r>
    </w:p>
    <w:sectPr w:rsidR="00D50EC6"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096A" w14:textId="77777777" w:rsidR="00374611" w:rsidRDefault="00374611" w:rsidP="007E6C00">
      <w:pPr>
        <w:spacing w:after="0" w:line="240" w:lineRule="auto"/>
      </w:pPr>
      <w:r>
        <w:separator/>
      </w:r>
    </w:p>
  </w:endnote>
  <w:endnote w:type="continuationSeparator" w:id="0">
    <w:p w14:paraId="0BC796A7" w14:textId="77777777" w:rsidR="00374611" w:rsidRDefault="00374611"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A9DF" w14:textId="77777777" w:rsidR="00D50EC6" w:rsidRDefault="00000000">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8EF7" w14:textId="77777777" w:rsidR="00374611" w:rsidRDefault="00374611" w:rsidP="007E6C00">
      <w:pPr>
        <w:spacing w:after="0" w:line="240" w:lineRule="auto"/>
      </w:pPr>
      <w:r>
        <w:separator/>
      </w:r>
    </w:p>
  </w:footnote>
  <w:footnote w:type="continuationSeparator" w:id="0">
    <w:p w14:paraId="3B1C1215" w14:textId="77777777" w:rsidR="00374611" w:rsidRDefault="00374611"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B4CA" w14:textId="77777777" w:rsidR="00D50EC6" w:rsidRDefault="00000000">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340AEA1C"/>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B4265B"/>
    <w:multiLevelType w:val="multilevel"/>
    <w:tmpl w:val="340AEA1C"/>
    <w:lvl w:ilvl="0">
      <w:start w:val="1"/>
      <w:numFmt w:val="bullet"/>
      <w:lvlText w:val=""/>
      <w:lvlJc w:val="left"/>
      <w:pPr>
        <w:ind w:left="740" w:hanging="380"/>
      </w:pPr>
      <w:rPr>
        <w:rFonts w:ascii="Symbol" w:hAnsi="Symbol"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9"/>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 w:numId="20" w16cid:durableId="9799244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B7E01"/>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090A"/>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329"/>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11D7"/>
    <w:rsid w:val="002A3609"/>
    <w:rsid w:val="002A6B3B"/>
    <w:rsid w:val="002A7BE2"/>
    <w:rsid w:val="002B01AE"/>
    <w:rsid w:val="002B17CD"/>
    <w:rsid w:val="002B3730"/>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74611"/>
    <w:rsid w:val="00381CE2"/>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1E6"/>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078B"/>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0894"/>
    <w:rsid w:val="00492981"/>
    <w:rsid w:val="004947E6"/>
    <w:rsid w:val="004A19E4"/>
    <w:rsid w:val="004A2085"/>
    <w:rsid w:val="004A3777"/>
    <w:rsid w:val="004A4979"/>
    <w:rsid w:val="004A565F"/>
    <w:rsid w:val="004B10E9"/>
    <w:rsid w:val="004B306E"/>
    <w:rsid w:val="004C13CF"/>
    <w:rsid w:val="004C322B"/>
    <w:rsid w:val="004C72DD"/>
    <w:rsid w:val="004D09B5"/>
    <w:rsid w:val="004D1B83"/>
    <w:rsid w:val="004D607D"/>
    <w:rsid w:val="004D628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3629B"/>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55653"/>
    <w:rsid w:val="006678BA"/>
    <w:rsid w:val="00667BD8"/>
    <w:rsid w:val="0067042F"/>
    <w:rsid w:val="00671D3C"/>
    <w:rsid w:val="00672E0C"/>
    <w:rsid w:val="00673434"/>
    <w:rsid w:val="006810C0"/>
    <w:rsid w:val="0068339C"/>
    <w:rsid w:val="006850E1"/>
    <w:rsid w:val="00697139"/>
    <w:rsid w:val="006A4D72"/>
    <w:rsid w:val="006A7529"/>
    <w:rsid w:val="006B0C02"/>
    <w:rsid w:val="006B37BE"/>
    <w:rsid w:val="006B6976"/>
    <w:rsid w:val="006B71AB"/>
    <w:rsid w:val="006C5ADE"/>
    <w:rsid w:val="006C6DCC"/>
    <w:rsid w:val="006D22F0"/>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16BBA"/>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DD8"/>
    <w:rsid w:val="008C0FD2"/>
    <w:rsid w:val="008C293A"/>
    <w:rsid w:val="008C33C2"/>
    <w:rsid w:val="008C3488"/>
    <w:rsid w:val="008C403C"/>
    <w:rsid w:val="008C48DD"/>
    <w:rsid w:val="008D12BE"/>
    <w:rsid w:val="008D1A34"/>
    <w:rsid w:val="008D5217"/>
    <w:rsid w:val="008D5FBD"/>
    <w:rsid w:val="008D603D"/>
    <w:rsid w:val="008D66C3"/>
    <w:rsid w:val="008D6F15"/>
    <w:rsid w:val="008E01E1"/>
    <w:rsid w:val="008E2FB4"/>
    <w:rsid w:val="008E681A"/>
    <w:rsid w:val="008F16B1"/>
    <w:rsid w:val="008F6F40"/>
    <w:rsid w:val="0090303D"/>
    <w:rsid w:val="00911D86"/>
    <w:rsid w:val="00912004"/>
    <w:rsid w:val="009123B3"/>
    <w:rsid w:val="00915D2B"/>
    <w:rsid w:val="00917F71"/>
    <w:rsid w:val="009205B3"/>
    <w:rsid w:val="00924729"/>
    <w:rsid w:val="009277F7"/>
    <w:rsid w:val="00927C5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BB7"/>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53F6"/>
    <w:rsid w:val="00A676E5"/>
    <w:rsid w:val="00A7281B"/>
    <w:rsid w:val="00A7296D"/>
    <w:rsid w:val="00A766BD"/>
    <w:rsid w:val="00A77596"/>
    <w:rsid w:val="00A7793F"/>
    <w:rsid w:val="00A77F97"/>
    <w:rsid w:val="00A830DA"/>
    <w:rsid w:val="00A8554F"/>
    <w:rsid w:val="00A92A70"/>
    <w:rsid w:val="00A93BC2"/>
    <w:rsid w:val="00A963B6"/>
    <w:rsid w:val="00AA2494"/>
    <w:rsid w:val="00AA31AA"/>
    <w:rsid w:val="00AA3ABD"/>
    <w:rsid w:val="00AB0B6B"/>
    <w:rsid w:val="00AB39AA"/>
    <w:rsid w:val="00AC0189"/>
    <w:rsid w:val="00AC19CA"/>
    <w:rsid w:val="00AC55F4"/>
    <w:rsid w:val="00AC69D0"/>
    <w:rsid w:val="00AD0819"/>
    <w:rsid w:val="00AD2C40"/>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213"/>
    <w:rsid w:val="00BC76F4"/>
    <w:rsid w:val="00BD48DC"/>
    <w:rsid w:val="00BD4A7B"/>
    <w:rsid w:val="00BD7BDB"/>
    <w:rsid w:val="00BE7121"/>
    <w:rsid w:val="00BF0989"/>
    <w:rsid w:val="00BF0CE5"/>
    <w:rsid w:val="00BF0CF6"/>
    <w:rsid w:val="00BF25D1"/>
    <w:rsid w:val="00BF32D3"/>
    <w:rsid w:val="00BF602F"/>
    <w:rsid w:val="00BF7A19"/>
    <w:rsid w:val="00C01193"/>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26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11A6"/>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0EC6"/>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6E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2232"/>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26C99"/>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F8C8"/>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12</Pages>
  <Words>3547</Words>
  <Characters>20220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922</cp:revision>
  <dcterms:created xsi:type="dcterms:W3CDTF">2025-11-20T12:09:00Z</dcterms:created>
  <dcterms:modified xsi:type="dcterms:W3CDTF">2026-02-10T11:45:00Z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