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jc w:val="center"/>
      </w:pPr>
    </w:p>
    <w:p>
      <w:pPr>
        <w:jc w:val="center"/>
      </w:pPr>
    </w:p>
    <w:p>
      <w:pPr>
        <w:jc w:val="center"/>
      </w:pPr>
    </w:p>
    <w:p>
      <w:pPr>
        <w:pStyle w:val="Title"/>
        <w:jc w:val="center"/>
      </w:pPr>
      <w:r>
        <w:rPr>
          <w:color w:val="0F4761"/>
          <w:sz w:val="56"/>
        </w:rPr>
        <w:t>Sales Collateral – Decision Criteria</w:t>
      </w:r>
    </w:p>
    <w:p/>
    <w:p>
      <w:pPr>
        <w:pStyle w:val="Title"/>
        <w:jc w:val="center"/>
      </w:pPr>
      <w:r>
        <w:rPr>
          <w:color w:val="0F4761"/>
          <w:sz w:val="72"/>
        </w:rPr>
        <w:t>Snowflake Platform Evaluation Guide</w:t>
      </w:r>
    </w:p>
    <w:p/>
    <w:p>
      <w:pPr>
        <w:pStyle w:val="Subtitle"/>
        <w:jc w:val="center"/>
      </w:pPr>
      <w:r>
        <w:rPr>
          <w:color w:val="595959"/>
          <w:sz w:val="36"/>
        </w:rPr>
        <w:t>Structured Evaluation Framework for Data &amp; AI Platform Selection</w:t>
      </w:r>
    </w:p>
    <w:p/>
    <w:p/>
    <w:p/>
    <w:p/>
    <w:p>
      <w:pPr>
        <w:jc w:val="center"/>
      </w:pPr>
      <w:r>
        <w:rPr>
          <w:color w:val="595959"/>
          <w:sz w:val="24"/>
        </w:rPr>
        <w:t>Prepared by Mastech Digital | Data &amp; AI Practice</w:t>
      </w:r>
    </w:p>
    <w:p>
      <w:pPr>
        <w:jc w:val="center"/>
      </w:pPr>
      <w:r>
        <w:rPr>
          <w:i/>
          <w:color w:val="595959"/>
          <w:sz w:val="22"/>
        </w:rPr>
        <w:t>Confidential</w:t>
      </w:r>
    </w:p>
    <w:p>
      <w:r>
        <w:br w:type="page"/>
      </w:r>
    </w:p>
    <w:p>
      <w:pPr>
        <w:pStyle w:val="Heading1"/>
      </w:pPr>
      <w:r>
        <w:rPr>
          <w:color w:val="0F4761"/>
          <w:sz w:val="40"/>
        </w:rPr>
        <w:t>1. Executive Summary</w:t>
      </w:r>
    </w:p>
    <w:p>
      <w:pPr/>
      <w:r>
        <w:t>Selecting the right data and AI platform is among the most consequential technology decisions an enterprise will make in this decade. The platform must unify analytics, data engineering, machine learning, and governance under a single architecture while delivering measurable business outcomes—reduced time-to-insight, lower total cost of ownership, and accelerated innovation. This guide provides a structured, objective evaluation framework that enables decision-makers to assess Snowflake against competing alternatives across six critical dimensions.</w:t>
      </w:r>
    </w:p>
    <w:p>
      <w:pPr/>
      <w:r>
        <w:t>The framework presented here has been developed by Mastech Digital’s Data &amp; AI Practice based on extensive experience delivering enterprise-scale Snowflake implementations across industries including financial services, healthcare, retail, and manufacturing. Each evaluation dimension is defined with clear scoring criteria, weighted by business impact, and supported by quantified benchmarks drawn from real-world deployments.</w:t>
      </w:r>
    </w:p>
    <w:p>
      <w:pPr/>
      <w:r>
        <w:t>By applying this framework, technology leaders and procurement teams can move beyond vendor marketing narratives and ground their decision in evidence-based analysis—ensuring the selected platform delivers long-term strategic value rather than short-term convenience.</w:t>
      </w:r>
    </w:p>
    <w:p>
      <w:pPr>
        <w:pStyle w:val="Heading1"/>
      </w:pPr>
      <w:r>
        <w:rPr>
          <w:color w:val="0F4761"/>
          <w:sz w:val="40"/>
        </w:rPr>
        <w:t>2. Evaluation Framework Overview</w:t>
      </w:r>
    </w:p>
    <w:p>
      <w:pPr/>
      <w:r>
        <w:t>The Mastech Digital Platform Evaluation Framework organizes the assessment into six complementary dimensions that collectively capture the technical, financial, operational, and strategic considerations involved in platform selection. Each dimension addresses a distinct facet of platform capability and maturity.</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Dimension</w:t>
            </w:r>
          </w:p>
        </w:tc>
        <w:tc>
          <w:tcPr>
            <w:tcW w:type="dxa" w:w="1504"/>
            <w:shd w:fill="153D63" w:val="clear"/>
          </w:tcPr>
          <w:p>
            <w:r/>
            <w:r>
              <w:rPr>
                <w:b/>
                <w:color w:val="FFFFFF"/>
                <w:sz w:val="20"/>
              </w:rPr>
              <w:t>Focus Area</w:t>
            </w:r>
          </w:p>
        </w:tc>
        <w:tc>
          <w:tcPr>
            <w:tcW w:type="dxa" w:w="1504"/>
            <w:shd w:fill="153D63" w:val="clear"/>
          </w:tcPr>
          <w:p>
            <w:r/>
            <w:r>
              <w:rPr>
                <w:b/>
                <w:color w:val="FFFFFF"/>
                <w:sz w:val="20"/>
              </w:rPr>
              <w:t>Weight</w:t>
            </w:r>
          </w:p>
        </w:tc>
        <w:tc>
          <w:tcPr>
            <w:tcW w:type="dxa" w:w="1504"/>
            <w:shd w:fill="153D63" w:val="clear"/>
          </w:tcPr>
          <w:p>
            <w:r/>
            <w:r>
              <w:rPr>
                <w:b/>
                <w:color w:val="FFFFFF"/>
                <w:sz w:val="20"/>
              </w:rPr>
              <w:t>Key Question</w:t>
            </w:r>
          </w:p>
        </w:tc>
        <w:tc>
          <w:tcPr>
            <w:tcW w:type="dxa" w:w="1504"/>
            <w:shd w:fill="153D63" w:val="clear"/>
          </w:tcPr>
          <w:p>
            <w:r/>
            <w:r>
              <w:rPr>
                <w:b/>
                <w:color w:val="FFFFFF"/>
                <w:sz w:val="20"/>
              </w:rPr>
              <w:t>Primary Stakeholder</w:t>
            </w:r>
          </w:p>
        </w:tc>
        <w:tc>
          <w:tcPr>
            <w:tcW w:type="dxa" w:w="1504"/>
            <w:shd w:fill="153D63" w:val="clear"/>
          </w:tcPr>
          <w:p>
            <w:r/>
            <w:r>
              <w:rPr>
                <w:b/>
                <w:color w:val="FFFFFF"/>
                <w:sz w:val="20"/>
              </w:rPr>
              <w:t>Assessment Method</w:t>
            </w:r>
          </w:p>
        </w:tc>
      </w:tr>
      <w:tr>
        <w:tc>
          <w:tcPr>
            <w:tcW w:type="dxa" w:w="1504"/>
          </w:tcPr>
          <w:p>
            <w:r/>
            <w:r>
              <w:rPr>
                <w:sz w:val="20"/>
              </w:rPr>
              <w:t>Functionality</w:t>
            </w:r>
          </w:p>
        </w:tc>
        <w:tc>
          <w:tcPr>
            <w:tcW w:type="dxa" w:w="1504"/>
          </w:tcPr>
          <w:p>
            <w:r/>
            <w:r>
              <w:rPr>
                <w:sz w:val="20"/>
              </w:rPr>
              <w:t>Core platform capabilities</w:t>
            </w:r>
          </w:p>
        </w:tc>
        <w:tc>
          <w:tcPr>
            <w:tcW w:type="dxa" w:w="1504"/>
          </w:tcPr>
          <w:p>
            <w:r/>
            <w:r>
              <w:rPr>
                <w:sz w:val="20"/>
              </w:rPr>
              <w:t>25%</w:t>
            </w:r>
          </w:p>
        </w:tc>
        <w:tc>
          <w:tcPr>
            <w:tcW w:type="dxa" w:w="1504"/>
          </w:tcPr>
          <w:p>
            <w:r/>
            <w:r>
              <w:rPr>
                <w:sz w:val="20"/>
              </w:rPr>
              <w:t>Does the platform support all required workloads natively?</w:t>
            </w:r>
          </w:p>
        </w:tc>
        <w:tc>
          <w:tcPr>
            <w:tcW w:type="dxa" w:w="1504"/>
          </w:tcPr>
          <w:p>
            <w:r/>
            <w:r>
              <w:rPr>
                <w:sz w:val="20"/>
              </w:rPr>
              <w:t>CTO / VP Engineering</w:t>
            </w:r>
          </w:p>
        </w:tc>
        <w:tc>
          <w:tcPr>
            <w:tcW w:type="dxa" w:w="1504"/>
          </w:tcPr>
          <w:p>
            <w:r/>
            <w:r>
              <w:rPr>
                <w:sz w:val="20"/>
              </w:rPr>
              <w:t>Feature checklist &amp; POC</w:t>
            </w:r>
          </w:p>
        </w:tc>
      </w:tr>
      <w:tr>
        <w:tc>
          <w:tcPr>
            <w:tcW w:type="dxa" w:w="1504"/>
            <w:shd w:fill="E8F0F8" w:val="clear"/>
          </w:tcPr>
          <w:p>
            <w:r/>
            <w:r>
              <w:rPr>
                <w:sz w:val="20"/>
              </w:rPr>
              <w:t>Scalability</w:t>
            </w:r>
          </w:p>
        </w:tc>
        <w:tc>
          <w:tcPr>
            <w:tcW w:type="dxa" w:w="1504"/>
            <w:shd w:fill="E8F0F8" w:val="clear"/>
          </w:tcPr>
          <w:p>
            <w:r/>
            <w:r>
              <w:rPr>
                <w:sz w:val="20"/>
              </w:rPr>
              <w:t>Performance at enterprise scale</w:t>
            </w:r>
          </w:p>
        </w:tc>
        <w:tc>
          <w:tcPr>
            <w:tcW w:type="dxa" w:w="1504"/>
            <w:shd w:fill="E8F0F8" w:val="clear"/>
          </w:tcPr>
          <w:p>
            <w:r/>
            <w:r>
              <w:rPr>
                <w:sz w:val="20"/>
              </w:rPr>
              <w:t>20%</w:t>
            </w:r>
          </w:p>
        </w:tc>
        <w:tc>
          <w:tcPr>
            <w:tcW w:type="dxa" w:w="1504"/>
            <w:shd w:fill="E8F0F8" w:val="clear"/>
          </w:tcPr>
          <w:p>
            <w:r/>
            <w:r>
              <w:rPr>
                <w:sz w:val="20"/>
              </w:rPr>
              <w:t>Can the platform handle 10x growth without re-architecture?</w:t>
            </w:r>
          </w:p>
        </w:tc>
        <w:tc>
          <w:tcPr>
            <w:tcW w:type="dxa" w:w="1504"/>
            <w:shd w:fill="E8F0F8" w:val="clear"/>
          </w:tcPr>
          <w:p>
            <w:r/>
            <w:r>
              <w:rPr>
                <w:sz w:val="20"/>
              </w:rPr>
              <w:t>VP Infrastructure</w:t>
            </w:r>
          </w:p>
        </w:tc>
        <w:tc>
          <w:tcPr>
            <w:tcW w:type="dxa" w:w="1504"/>
            <w:shd w:fill="E8F0F8" w:val="clear"/>
          </w:tcPr>
          <w:p>
            <w:r/>
            <w:r>
              <w:rPr>
                <w:sz w:val="20"/>
              </w:rPr>
              <w:t>Benchmark testing</w:t>
            </w:r>
          </w:p>
        </w:tc>
      </w:tr>
      <w:tr>
        <w:tc>
          <w:tcPr>
            <w:tcW w:type="dxa" w:w="1504"/>
          </w:tcPr>
          <w:p>
            <w:r/>
            <w:r>
              <w:rPr>
                <w:sz w:val="20"/>
              </w:rPr>
              <w:t>Governance &amp; Security</w:t>
            </w:r>
          </w:p>
        </w:tc>
        <w:tc>
          <w:tcPr>
            <w:tcW w:type="dxa" w:w="1504"/>
          </w:tcPr>
          <w:p>
            <w:r/>
            <w:r>
              <w:rPr>
                <w:sz w:val="20"/>
              </w:rPr>
              <w:t>Data protection and compliance</w:t>
            </w:r>
          </w:p>
        </w:tc>
        <w:tc>
          <w:tcPr>
            <w:tcW w:type="dxa" w:w="1504"/>
          </w:tcPr>
          <w:p>
            <w:r/>
            <w:r>
              <w:rPr>
                <w:sz w:val="20"/>
              </w:rPr>
              <w:t>20%</w:t>
            </w:r>
          </w:p>
        </w:tc>
        <w:tc>
          <w:tcPr>
            <w:tcW w:type="dxa" w:w="1504"/>
          </w:tcPr>
          <w:p>
            <w:r/>
            <w:r>
              <w:rPr>
                <w:sz w:val="20"/>
              </w:rPr>
              <w:t>Does the platform meet regulatory and security mandates?</w:t>
            </w:r>
          </w:p>
        </w:tc>
        <w:tc>
          <w:tcPr>
            <w:tcW w:type="dxa" w:w="1504"/>
          </w:tcPr>
          <w:p>
            <w:r/>
            <w:r>
              <w:rPr>
                <w:sz w:val="20"/>
              </w:rPr>
              <w:t>CISO / CDO</w:t>
            </w:r>
          </w:p>
        </w:tc>
        <w:tc>
          <w:tcPr>
            <w:tcW w:type="dxa" w:w="1504"/>
          </w:tcPr>
          <w:p>
            <w:r/>
            <w:r>
              <w:rPr>
                <w:sz w:val="20"/>
              </w:rPr>
              <w:t>Compliance mapping</w:t>
            </w:r>
          </w:p>
        </w:tc>
      </w:tr>
      <w:tr>
        <w:tc>
          <w:tcPr>
            <w:tcW w:type="dxa" w:w="1504"/>
            <w:shd w:fill="E8F0F8" w:val="clear"/>
          </w:tcPr>
          <w:p>
            <w:r/>
            <w:r>
              <w:rPr>
                <w:sz w:val="20"/>
              </w:rPr>
              <w:t>Cost Model</w:t>
            </w:r>
          </w:p>
        </w:tc>
        <w:tc>
          <w:tcPr>
            <w:tcW w:type="dxa" w:w="1504"/>
            <w:shd w:fill="E8F0F8" w:val="clear"/>
          </w:tcPr>
          <w:p>
            <w:r/>
            <w:r>
              <w:rPr>
                <w:sz w:val="20"/>
              </w:rPr>
              <w:t>TCO and pricing predictability</w:t>
            </w:r>
          </w:p>
        </w:tc>
        <w:tc>
          <w:tcPr>
            <w:tcW w:type="dxa" w:w="1504"/>
            <w:shd w:fill="E8F0F8" w:val="clear"/>
          </w:tcPr>
          <w:p>
            <w:r/>
            <w:r>
              <w:rPr>
                <w:sz w:val="20"/>
              </w:rPr>
              <w:t>15%</w:t>
            </w:r>
          </w:p>
        </w:tc>
        <w:tc>
          <w:tcPr>
            <w:tcW w:type="dxa" w:w="1504"/>
            <w:shd w:fill="E8F0F8" w:val="clear"/>
          </w:tcPr>
          <w:p>
            <w:r/>
            <w:r>
              <w:rPr>
                <w:sz w:val="20"/>
              </w:rPr>
              <w:t>Is the total cost transparent, predictable, and optimizable?</w:t>
            </w:r>
          </w:p>
        </w:tc>
        <w:tc>
          <w:tcPr>
            <w:tcW w:type="dxa" w:w="1504"/>
            <w:shd w:fill="E8F0F8" w:val="clear"/>
          </w:tcPr>
          <w:p>
            <w:r/>
            <w:r>
              <w:rPr>
                <w:sz w:val="20"/>
              </w:rPr>
              <w:t>CFO / VP Finance</w:t>
            </w:r>
          </w:p>
        </w:tc>
        <w:tc>
          <w:tcPr>
            <w:tcW w:type="dxa" w:w="1504"/>
            <w:shd w:fill="E8F0F8" w:val="clear"/>
          </w:tcPr>
          <w:p>
            <w:r/>
            <w:r>
              <w:rPr>
                <w:sz w:val="20"/>
              </w:rPr>
              <w:t>TCO analysis</w:t>
            </w:r>
          </w:p>
        </w:tc>
      </w:tr>
      <w:tr>
        <w:tc>
          <w:tcPr>
            <w:tcW w:type="dxa" w:w="1504"/>
          </w:tcPr>
          <w:p>
            <w:r/>
            <w:r>
              <w:rPr>
                <w:sz w:val="20"/>
              </w:rPr>
              <w:t>Ecosystem &amp; Integration</w:t>
            </w:r>
          </w:p>
        </w:tc>
        <w:tc>
          <w:tcPr>
            <w:tcW w:type="dxa" w:w="1504"/>
          </w:tcPr>
          <w:p>
            <w:r/>
            <w:r>
              <w:rPr>
                <w:sz w:val="20"/>
              </w:rPr>
              <w:t>Openness and interoperability</w:t>
            </w:r>
          </w:p>
        </w:tc>
        <w:tc>
          <w:tcPr>
            <w:tcW w:type="dxa" w:w="1504"/>
          </w:tcPr>
          <w:p>
            <w:r/>
            <w:r>
              <w:rPr>
                <w:sz w:val="20"/>
              </w:rPr>
              <w:t>10%</w:t>
            </w:r>
          </w:p>
        </w:tc>
        <w:tc>
          <w:tcPr>
            <w:tcW w:type="dxa" w:w="1504"/>
          </w:tcPr>
          <w:p>
            <w:r/>
            <w:r>
              <w:rPr>
                <w:sz w:val="20"/>
              </w:rPr>
              <w:t>Does the platform integrate with existing investments?</w:t>
            </w:r>
          </w:p>
        </w:tc>
        <w:tc>
          <w:tcPr>
            <w:tcW w:type="dxa" w:w="1504"/>
          </w:tcPr>
          <w:p>
            <w:r/>
            <w:r>
              <w:rPr>
                <w:sz w:val="20"/>
              </w:rPr>
              <w:t>Enterprise Architect</w:t>
            </w:r>
          </w:p>
        </w:tc>
        <w:tc>
          <w:tcPr>
            <w:tcW w:type="dxa" w:w="1504"/>
          </w:tcPr>
          <w:p>
            <w:r/>
            <w:r>
              <w:rPr>
                <w:sz w:val="20"/>
              </w:rPr>
              <w:t>Integration audit</w:t>
            </w:r>
          </w:p>
        </w:tc>
      </w:tr>
      <w:tr>
        <w:tc>
          <w:tcPr>
            <w:tcW w:type="dxa" w:w="1504"/>
            <w:shd w:fill="E8F0F8" w:val="clear"/>
          </w:tcPr>
          <w:p>
            <w:r/>
            <w:r>
              <w:rPr>
                <w:sz w:val="20"/>
              </w:rPr>
              <w:t>Vendor &amp; Partner</w:t>
            </w:r>
          </w:p>
        </w:tc>
        <w:tc>
          <w:tcPr>
            <w:tcW w:type="dxa" w:w="1504"/>
            <w:shd w:fill="E8F0F8" w:val="clear"/>
          </w:tcPr>
          <w:p>
            <w:r/>
            <w:r>
              <w:rPr>
                <w:sz w:val="20"/>
              </w:rPr>
              <w:t>Vendor stability and support</w:t>
            </w:r>
          </w:p>
        </w:tc>
        <w:tc>
          <w:tcPr>
            <w:tcW w:type="dxa" w:w="1504"/>
            <w:shd w:fill="E8F0F8" w:val="clear"/>
          </w:tcPr>
          <w:p>
            <w:r/>
            <w:r>
              <w:rPr>
                <w:sz w:val="20"/>
              </w:rPr>
              <w:t>10%</w:t>
            </w:r>
          </w:p>
        </w:tc>
        <w:tc>
          <w:tcPr>
            <w:tcW w:type="dxa" w:w="1504"/>
            <w:shd w:fill="E8F0F8" w:val="clear"/>
          </w:tcPr>
          <w:p>
            <w:r/>
            <w:r>
              <w:rPr>
                <w:sz w:val="20"/>
              </w:rPr>
              <w:t>Is the vendor and partner ecosystem mature and reliable?</w:t>
            </w:r>
          </w:p>
        </w:tc>
        <w:tc>
          <w:tcPr>
            <w:tcW w:type="dxa" w:w="1504"/>
            <w:shd w:fill="E8F0F8" w:val="clear"/>
          </w:tcPr>
          <w:p>
            <w:r/>
            <w:r>
              <w:rPr>
                <w:sz w:val="20"/>
              </w:rPr>
              <w:t>VP Procurement</w:t>
            </w:r>
          </w:p>
        </w:tc>
        <w:tc>
          <w:tcPr>
            <w:tcW w:type="dxa" w:w="1504"/>
            <w:shd w:fill="E8F0F8" w:val="clear"/>
          </w:tcPr>
          <w:p>
            <w:r/>
            <w:r>
              <w:rPr>
                <w:sz w:val="20"/>
              </w:rPr>
              <w:t>Vendor assessment</w:t>
            </w:r>
          </w:p>
        </w:tc>
      </w:tr>
    </w:tbl>
    <w:p/>
    <w:p>
      <w:pPr/>
      <w:r>
        <w:t>The weights reflect the priorities most commonly observed across Mastech Digital’s client base. Organizations should adjust weights based on their specific strategic context—for example, heavily regulated industries may increase the Governance &amp; Security weight, while cost-constrained organizations may elevate the Cost Model dimension.</w:t>
      </w:r>
    </w:p>
    <w:p>
      <w:pPr>
        <w:pStyle w:val="Heading1"/>
      </w:pPr>
      <w:r>
        <w:rPr>
          <w:color w:val="0F4761"/>
          <w:sz w:val="40"/>
        </w:rPr>
        <w:t>3. Evaluation Criteria by Dimension</w:t>
      </w:r>
    </w:p>
    <w:p>
      <w:pPr>
        <w:pStyle w:val="Heading2"/>
      </w:pPr>
      <w:r>
        <w:rPr>
          <w:color w:val="0F4761"/>
          <w:sz w:val="32"/>
        </w:rPr>
        <w:t>3.1 Functionality</w:t>
      </w:r>
    </w:p>
    <w:p>
      <w:pPr/>
      <w:r>
        <w:t>The Functionality dimension assesses whether the platform provides native, integrated capabilities across the full spectrum of data and AI workloads—eliminating the need for bolt-on tools, custom integrations, or multi-vendor orchestration. A platform that scores highly here reduces architectural complexity and accelerates time-to-value.</w:t>
      </w:r>
    </w:p>
    <w:p>
      <w:pPr>
        <w:pStyle w:val="ListParagraph"/>
        <w:ind w:left="720" w:hanging="360"/>
      </w:pPr>
      <w:r>
        <w:rPr>
          <w:b/>
        </w:rPr>
        <w:t xml:space="preserve">Unified Data Cloud Architecture: </w:t>
      </w:r>
      <w:r>
        <w:t>Snowflake delivers a single platform that converges data warehousing, data engineering, streaming, and machine learning on a shared data cloud foundation built on Snowflake Managed Tables with Apache Iceberg. This eliminates data silos and redundant data copies that plague traditional multi-tool architectures.</w:t>
      </w:r>
    </w:p>
    <w:p>
      <w:pPr>
        <w:pStyle w:val="ListParagraph"/>
        <w:ind w:left="720" w:hanging="360"/>
      </w:pPr>
      <w:r>
        <w:rPr>
          <w:b/>
        </w:rPr>
        <w:t xml:space="preserve">Multi-Language &amp; Multi-Workload Support: </w:t>
      </w:r>
      <w:r>
        <w:t>Native support for SQL, Python, Scala, and R enables data engineers, analysts, and data scientists to work in their preferred language on a single platform. Workloads span batch ETL, streaming, interactive SQL, ML training, and model serving—all within one environment.</w:t>
      </w:r>
    </w:p>
    <w:p>
      <w:pPr>
        <w:pStyle w:val="ListParagraph"/>
        <w:ind w:left="720" w:hanging="360"/>
      </w:pPr>
      <w:r>
        <w:rPr>
          <w:b/>
        </w:rPr>
        <w:t xml:space="preserve">Snowflake Managed Tables with Apache Iceberg: </w:t>
      </w:r>
      <w:r>
        <w:t>ACID transactions, schema enforcement, time travel, and Z-ordering deliver reliability and performance that raw data lake formats cannot match. Snowflake Managed Tables with Apache Iceberg is open-source, eliminating proprietary format lock-in.</w:t>
      </w:r>
    </w:p>
    <w:p>
      <w:pPr>
        <w:pStyle w:val="ListParagraph"/>
        <w:ind w:left="720" w:hanging="360"/>
      </w:pPr>
      <w:r>
        <w:rPr>
          <w:b/>
        </w:rPr>
        <w:t xml:space="preserve">Snowflake Dynamic Tables (DLT): </w:t>
      </w:r>
      <w:r>
        <w:t>Declarative pipeline framework that automates data quality, error handling, and pipeline orchestration. DLT reduces pipeline development effort by up to 70% compared to imperative ETL coding approaches.</w:t>
      </w:r>
    </w:p>
    <w:p>
      <w:pPr>
        <w:pStyle w:val="ListParagraph"/>
        <w:ind w:left="720" w:hanging="360"/>
      </w:pPr>
      <w:r>
        <w:rPr>
          <w:b/>
        </w:rPr>
        <w:t xml:space="preserve">Snowflake Workflows: </w:t>
      </w:r>
      <w:r>
        <w:t>Built-in orchestration engine for scheduling and managing multi-task jobs across notebooks, JARs, Python scripts, and DLT pipelines. Eliminates the need for external orchestration tools such as Airflow or Control-M for Snowflake-native workloads.</w:t>
      </w:r>
    </w:p>
    <w:p>
      <w:pPr>
        <w:pStyle w:val="ListParagraph"/>
        <w:ind w:left="720" w:hanging="360"/>
      </w:pPr>
      <w:r>
        <w:rPr>
          <w:b/>
        </w:rPr>
        <w:t xml:space="preserve">Serverless SQL: </w:t>
      </w:r>
      <w:r>
        <w:t>Instant-on SQL compute with zero cluster management overhead. Serverless SQL warehouses deliver sub-second query response times for BI workloads while automatically scaling to handle concurrent user demand.</w:t>
      </w:r>
    </w:p>
    <w:p>
      <w:pPr>
        <w:pStyle w:val="Heading2"/>
      </w:pPr>
      <w:r>
        <w:rPr>
          <w:color w:val="0F4761"/>
          <w:sz w:val="32"/>
        </w:rPr>
        <w:t>3.2 Scalability</w:t>
      </w:r>
    </w:p>
    <w:p>
      <w:pPr/>
      <w:r>
        <w:t>The Scalability dimension evaluates the platform’s ability to handle growing data volumes, increasing user concurrency, and expanding workload diversity without requiring fundamental re-architecture or disproportionate cost increases.</w:t>
      </w:r>
    </w:p>
    <w:p>
      <w:pPr>
        <w:pStyle w:val="ListParagraph"/>
        <w:ind w:left="720" w:hanging="360"/>
      </w:pPr>
      <w:r>
        <w:rPr>
          <w:b/>
        </w:rPr>
        <w:t xml:space="preserve">Auto-Scaling Compute: </w:t>
      </w:r>
      <w:r>
        <w:t>Snowflake clusters automatically scale up and down based on workload demand, ensuring optimal resource utilization. Auto-scaling applies to both interactive and batch workloads, with configurable minimum and maximum node counts.</w:t>
      </w:r>
    </w:p>
    <w:p>
      <w:pPr>
        <w:pStyle w:val="ListParagraph"/>
        <w:ind w:left="720" w:hanging="360"/>
      </w:pPr>
      <w:r>
        <w:rPr>
          <w:b/>
        </w:rPr>
        <w:t xml:space="preserve">Serverless Compute: </w:t>
      </w:r>
      <w:r>
        <w:t>Snowflake serverless compute eliminates the need for cluster provisioning entirely. Compute resources are allocated instantly and released automatically, reducing idle resource costs by 40–60% compared to always-on cluster configurations.</w:t>
      </w:r>
    </w:p>
    <w:p>
      <w:pPr>
        <w:pStyle w:val="ListParagraph"/>
        <w:ind w:left="720" w:hanging="360"/>
      </w:pPr>
      <w:r>
        <w:rPr>
          <w:b/>
        </w:rPr>
        <w:t xml:space="preserve">Snowflake’s Query Optimization Engine: </w:t>
      </w:r>
      <w:r>
        <w:t>Snowflake’s next-generation vectorized query engine delivers 3–5x performance improvement for SQL and DataFrame workloads. Snowflake’s query acceleration is written in C++ and optimized for modern hardware, providing performance parity or superiority to traditional data warehouse engines.</w:t>
      </w:r>
    </w:p>
    <w:p>
      <w:pPr>
        <w:pStyle w:val="ListParagraph"/>
        <w:ind w:left="720" w:hanging="360"/>
      </w:pPr>
      <w:r>
        <w:rPr>
          <w:b/>
        </w:rPr>
        <w:t xml:space="preserve">Multi-Cloud Deployment: </w:t>
      </w:r>
      <w:r>
        <w:t>Snowflake runs natively on AWS, Azure, and Google Cloud, enabling organizations to deploy workloads on the cloud provider that best fits their infrastructure strategy. Multi-cloud capability also mitigates vendor lock-in risk at the infrastructure layer.</w:t>
      </w:r>
    </w:p>
    <w:p>
      <w:pPr>
        <w:pStyle w:val="Heading2"/>
      </w:pPr>
      <w:r>
        <w:rPr>
          <w:color w:val="0F4761"/>
          <w:sz w:val="32"/>
        </w:rPr>
        <w:t>3.3 Governance &amp; Security</w:t>
      </w:r>
    </w:p>
    <w:p>
      <w:pPr/>
      <w:r>
        <w:t>The Governance &amp; Security dimension assesses the platform’s ability to protect sensitive data, enforce access policies, maintain audit trails, and support regulatory compliance requirements across the organization.</w:t>
      </w:r>
    </w:p>
    <w:p>
      <w:pPr>
        <w:pStyle w:val="ListParagraph"/>
        <w:ind w:left="720" w:hanging="360"/>
      </w:pPr>
      <w:r>
        <w:rPr>
          <w:b/>
        </w:rPr>
        <w:t xml:space="preserve">Snowflake Horizon: </w:t>
      </w:r>
      <w:r>
        <w:t>Centralized governance layer providing unified access control, data lineage, and audit logging across all Snowflake workspaces. Snowflake Horizon supports catalog, schema, table, column, and row-level security with a single permission model.</w:t>
      </w:r>
    </w:p>
    <w:p>
      <w:pPr>
        <w:pStyle w:val="ListParagraph"/>
        <w:ind w:left="720" w:hanging="360"/>
      </w:pPr>
      <w:r>
        <w:rPr>
          <w:b/>
        </w:rPr>
        <w:t xml:space="preserve">Fine-Grained Access Control Lists (ACLs): </w:t>
      </w:r>
      <w:r>
        <w:t>Role-based and attribute-based access control at the table, column, and row level. Dynamic data masking and row-level security enable organizations to enforce least-privilege access without creating multiple copies of sensitive datasets.</w:t>
      </w:r>
    </w:p>
    <w:p>
      <w:pPr>
        <w:pStyle w:val="ListParagraph"/>
        <w:ind w:left="720" w:hanging="360"/>
      </w:pPr>
      <w:r>
        <w:rPr>
          <w:b/>
        </w:rPr>
        <w:t xml:space="preserve">Data Lineage: </w:t>
      </w:r>
      <w:r>
        <w:t>Automated end-to-end lineage tracking from source to consumption, including column-level lineage. Lineage information supports impact analysis, regulatory reporting, and data quality root cause investigation.</w:t>
      </w:r>
    </w:p>
    <w:p>
      <w:pPr>
        <w:pStyle w:val="ListParagraph"/>
        <w:ind w:left="720" w:hanging="360"/>
      </w:pPr>
      <w:r>
        <w:rPr>
          <w:b/>
        </w:rPr>
        <w:t xml:space="preserve">Audit Logs &amp; Monitoring: </w:t>
      </w:r>
      <w:r>
        <w:t>Comprehensive audit logging of all user actions, data access events, and administrative changes. System tables provide queryable audit data for security monitoring, compliance reporting, and anomaly detection.</w:t>
      </w:r>
    </w:p>
    <w:p>
      <w:pPr>
        <w:pStyle w:val="ListParagraph"/>
        <w:ind w:left="720" w:hanging="360"/>
      </w:pPr>
      <w:r>
        <w:rPr>
          <w:b/>
        </w:rPr>
        <w:t xml:space="preserve">Encryption: </w:t>
      </w:r>
      <w:r>
        <w:t>Data encryption at rest and in transit using industry-standard algorithms. Support for customer-managed encryption keys (CMEK) provides additional control for organizations with stringent key management requirements.</w:t>
      </w:r>
    </w:p>
    <w:p>
      <w:pPr>
        <w:pStyle w:val="Heading2"/>
      </w:pPr>
      <w:r>
        <w:rPr>
          <w:color w:val="0F4761"/>
          <w:sz w:val="32"/>
        </w:rPr>
        <w:t>3.4 Cost Model</w:t>
      </w:r>
    </w:p>
    <w:p>
      <w:pPr/>
      <w:r>
        <w:t>The Cost Model dimension evaluates the transparency, predictability, and optimization potential of the platform’s pricing structure. An effective cost model enables organizations to align platform spending with business value delivered.</w:t>
      </w:r>
    </w:p>
    <w:p>
      <w:pPr>
        <w:pStyle w:val="ListParagraph"/>
        <w:ind w:left="720" w:hanging="360"/>
      </w:pPr>
      <w:r>
        <w:rPr>
          <w:b/>
        </w:rPr>
        <w:t xml:space="preserve">Pay-As-You-Go Pricing: </w:t>
      </w:r>
      <w:r>
        <w:t>Snowflake uses a consumption-based model measured in Snowflake Credits, providing direct correlation between compute usage and cost. Organizations pay only for resources consumed, eliminating wasted spend on idle capacity.</w:t>
      </w:r>
    </w:p>
    <w:p>
      <w:pPr>
        <w:pStyle w:val="ListParagraph"/>
        <w:ind w:left="720" w:hanging="360"/>
      </w:pPr>
      <w:r>
        <w:rPr>
          <w:b/>
        </w:rPr>
        <w:t xml:space="preserve">Credit-Based Pricing: </w:t>
      </w:r>
      <w:r>
        <w:t>All Snowflake compute is metered in Snowflake Credits, providing a unified currency across workloads. credit rates vary by compute type (Jobs, SQL, All-Purpose) and tier, enabling cost optimization through workload-appropriate compute selection.</w:t>
      </w:r>
    </w:p>
    <w:p>
      <w:pPr>
        <w:pStyle w:val="ListParagraph"/>
        <w:ind w:left="720" w:hanging="360"/>
      </w:pPr>
      <w:r>
        <w:rPr>
          <w:b/>
        </w:rPr>
        <w:t xml:space="preserve">Serverless vs. Classic Compute: </w:t>
      </w:r>
      <w:r>
        <w:t>Serverless compute offers zero-management convenience at a premium credit rate, while classic compute provides lower per-credit cost with cluster management overhead. Organizations can strategically mix compute types to optimize the cost-convenience tradeoff.</w:t>
      </w:r>
    </w:p>
    <w:p>
      <w:pPr>
        <w:pStyle w:val="ListParagraph"/>
        <w:ind w:left="720" w:hanging="360"/>
      </w:pPr>
      <w:r>
        <w:rPr>
          <w:b/>
        </w:rPr>
        <w:t xml:space="preserve">Reserved Capacity: </w:t>
      </w:r>
      <w:r>
        <w:t>Snowflake Committed Use Discounts (CUDs) offer 20–40% savings for organizations willing to commit to minimum consumption levels. CUDs are applied at the account level, providing flexibility in how committed capacity is consumed across workloads.</w:t>
      </w:r>
    </w:p>
    <w:p>
      <w:pPr>
        <w:pStyle w:val="Heading2"/>
      </w:pPr>
      <w:r>
        <w:rPr>
          <w:color w:val="0F4761"/>
          <w:sz w:val="32"/>
        </w:rPr>
        <w:t>3.5 Ecosystem &amp; Integration</w:t>
      </w:r>
    </w:p>
    <w:p>
      <w:pPr/>
      <w:r>
        <w:t>The Ecosystem &amp; Integration dimension assesses the platform’s openness, interoperability with existing enterprise systems, and the breadth of its technology partner network.</w:t>
      </w:r>
    </w:p>
    <w:p>
      <w:pPr>
        <w:pStyle w:val="ListParagraph"/>
        <w:ind w:left="720" w:hanging="360"/>
      </w:pPr>
      <w:r>
        <w:rPr>
          <w:b/>
        </w:rPr>
        <w:t xml:space="preserve">Open Formats &amp; Standards: </w:t>
      </w:r>
      <w:r>
        <w:t>Snowflake stores data in open formats (Snowflake Managed Tables with Apache Iceberg/Parquet) and supports open APIs and protocols (Snowflake Horizon’s open APIs, Delta Sharing). This prevents data lock-in and ensures interoperability with the broader data ecosystem.</w:t>
      </w:r>
    </w:p>
    <w:p>
      <w:pPr>
        <w:pStyle w:val="ListParagraph"/>
        <w:ind w:left="720" w:hanging="360"/>
      </w:pPr>
      <w:r>
        <w:rPr>
          <w:b/>
        </w:rPr>
        <w:t xml:space="preserve">Partner Connect: </w:t>
      </w:r>
      <w:r>
        <w:t>Pre-built integrations with 100+ technology partners spanning BI tools (Tableau, Power BI), data integration (Fivetran, dbt), governance (Collibra, Alation), and ML platforms. Partner Connect reduces integration effort from weeks to minutes.</w:t>
      </w:r>
    </w:p>
    <w:p>
      <w:pPr>
        <w:pStyle w:val="ListParagraph"/>
        <w:ind w:left="720" w:hanging="360"/>
      </w:pPr>
      <w:r>
        <w:rPr>
          <w:b/>
        </w:rPr>
        <w:t xml:space="preserve">API-First Architecture: </w:t>
      </w:r>
      <w:r>
        <w:t>Comprehensive REST APIs for workspace management, cluster operations, job execution, and data access. API-first design enables automation, CI/CD integration, and custom tooling development.</w:t>
      </w:r>
    </w:p>
    <w:p>
      <w:pPr>
        <w:pStyle w:val="ListParagraph"/>
        <w:ind w:left="720" w:hanging="360"/>
      </w:pPr>
      <w:r>
        <w:rPr>
          <w:b/>
        </w:rPr>
        <w:t xml:space="preserve">Infrastructure as Code (IaC): </w:t>
      </w:r>
      <w:r>
        <w:t>Native Terraform provider and ARM/CloudFormation templates enable infrastructure provisioning automation. IaC support ensures consistent, repeatable deployments across environments and reduces configuration drift.</w:t>
      </w:r>
    </w:p>
    <w:p>
      <w:pPr>
        <w:pStyle w:val="Heading2"/>
      </w:pPr>
      <w:r>
        <w:rPr>
          <w:color w:val="0F4761"/>
          <w:sz w:val="32"/>
        </w:rPr>
        <w:t>3.6 Vendor &amp; Partner Maturity</w:t>
      </w:r>
    </w:p>
    <w:p>
      <w:pPr/>
      <w:r>
        <w:t>The Vendor &amp; Partner dimension evaluates the stability, maturity, and strategic alignment of the platform vendor and its implementation partner ecosystem.</w:t>
      </w:r>
    </w:p>
    <w:p>
      <w:pPr>
        <w:pStyle w:val="ListParagraph"/>
        <w:ind w:left="720" w:hanging="360"/>
      </w:pPr>
      <w:r>
        <w:rPr>
          <w:b/>
        </w:rPr>
        <w:t xml:space="preserve">Snowflake Platform Maturity: </w:t>
      </w:r>
      <w:r>
        <w:t>Snowflake has been recognized as a Leader in the Gartner Magic Quadrant for Cloud Database Management Systems and Forrester Wave for Cloud Data Warehouses. The platform serves 10,000+ enterprise customers globally, including 60% of the Fortune 500.</w:t>
      </w:r>
    </w:p>
    <w:p>
      <w:pPr>
        <w:pStyle w:val="ListParagraph"/>
        <w:ind w:left="720" w:hanging="360"/>
      </w:pPr>
      <w:r>
        <w:rPr>
          <w:b/>
        </w:rPr>
        <w:t xml:space="preserve">Mastech Digital Partnership Depth: </w:t>
      </w:r>
      <w:r>
        <w:t>Mastech Digital is a Snowflake Elite Partner with certified architects, proprietary SLM accelerators, and a proven delivery track record across 50+ enterprise implementations. Mastech’s partnership extends beyond implementation to co-innovation and joint go-to-market.</w:t>
      </w:r>
    </w:p>
    <w:p>
      <w:pPr>
        <w:pStyle w:val="ListParagraph"/>
        <w:ind w:left="720" w:hanging="360"/>
      </w:pPr>
      <w:r>
        <w:rPr>
          <w:b/>
        </w:rPr>
        <w:t xml:space="preserve">Support Model: </w:t>
      </w:r>
      <w:r>
        <w:t>Snowflake provides tiered support (Standard, Premium, Enterprise) with SLA-backed response times. Mastech Digital augments vendor support with dedicated platform engineers, proactive monitoring, and managed services—ensuring end-to-end operational coverage.</w:t>
      </w:r>
    </w:p>
    <w:p>
      <w:pPr>
        <w:pStyle w:val="Heading1"/>
      </w:pPr>
      <w:r>
        <w:rPr>
          <w:color w:val="0F4761"/>
          <w:sz w:val="40"/>
        </w:rPr>
        <w:t>4. Scoring Methodology</w:t>
      </w:r>
    </w:p>
    <w:p>
      <w:pPr/>
      <w:r>
        <w:t>Each evaluation dimension is scored on a 1–5 scale using standardized definitions. Scores are multiplied by dimension weights to produce a weighted total that enables objective comparison across platform alternatives.</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Score</w:t>
            </w:r>
          </w:p>
        </w:tc>
        <w:tc>
          <w:tcPr>
            <w:tcW w:type="dxa" w:w="1504"/>
            <w:shd w:fill="153D63" w:val="clear"/>
          </w:tcPr>
          <w:p>
            <w:r/>
            <w:r>
              <w:rPr>
                <w:b/>
                <w:color w:val="FFFFFF"/>
                <w:sz w:val="20"/>
              </w:rPr>
              <w:t>Rating</w:t>
            </w:r>
          </w:p>
        </w:tc>
        <w:tc>
          <w:tcPr>
            <w:tcW w:type="dxa" w:w="1504"/>
            <w:shd w:fill="153D63" w:val="clear"/>
          </w:tcPr>
          <w:p>
            <w:r/>
            <w:r>
              <w:rPr>
                <w:b/>
                <w:color w:val="FFFFFF"/>
                <w:sz w:val="20"/>
              </w:rPr>
              <w:t>Definition</w:t>
            </w:r>
          </w:p>
        </w:tc>
        <w:tc>
          <w:tcPr>
            <w:tcW w:type="dxa" w:w="1504"/>
            <w:shd w:fill="153D63" w:val="clear"/>
          </w:tcPr>
          <w:p>
            <w:r/>
            <w:r>
              <w:rPr>
                <w:b/>
                <w:color w:val="FFFFFF"/>
                <w:sz w:val="20"/>
              </w:rPr>
              <w:t>Evidence Required</w:t>
            </w:r>
          </w:p>
        </w:tc>
        <w:tc>
          <w:tcPr>
            <w:tcW w:type="dxa" w:w="1504"/>
            <w:shd w:fill="153D63" w:val="clear"/>
          </w:tcPr>
          <w:p>
            <w:r/>
            <w:r>
              <w:rPr>
                <w:b/>
                <w:color w:val="FFFFFF"/>
                <w:sz w:val="20"/>
              </w:rPr>
              <w:t>Risk Level</w:t>
            </w:r>
          </w:p>
        </w:tc>
        <w:tc>
          <w:tcPr>
            <w:tcW w:type="dxa" w:w="1504"/>
            <w:shd w:fill="153D63" w:val="clear"/>
          </w:tcPr>
          <w:p>
            <w:r/>
            <w:r>
              <w:rPr>
                <w:b/>
                <w:color w:val="FFFFFF"/>
                <w:sz w:val="20"/>
              </w:rPr>
              <w:t>Recommendation</w:t>
            </w:r>
          </w:p>
        </w:tc>
      </w:tr>
      <w:tr>
        <w:tc>
          <w:tcPr>
            <w:tcW w:type="dxa" w:w="1504"/>
          </w:tcPr>
          <w:p>
            <w:r/>
            <w:r>
              <w:rPr>
                <w:sz w:val="20"/>
              </w:rPr>
              <w:t>5</w:t>
            </w:r>
          </w:p>
        </w:tc>
        <w:tc>
          <w:tcPr>
            <w:tcW w:type="dxa" w:w="1504"/>
          </w:tcPr>
          <w:p>
            <w:r/>
            <w:r>
              <w:rPr>
                <w:sz w:val="20"/>
              </w:rPr>
              <w:t>Exceptional</w:t>
            </w:r>
          </w:p>
        </w:tc>
        <w:tc>
          <w:tcPr>
            <w:tcW w:type="dxa" w:w="1504"/>
          </w:tcPr>
          <w:p>
            <w:r/>
            <w:r>
              <w:rPr>
                <w:sz w:val="20"/>
              </w:rPr>
              <w:t>Platform exceeds requirements with market-leading capability</w:t>
            </w:r>
          </w:p>
        </w:tc>
        <w:tc>
          <w:tcPr>
            <w:tcW w:type="dxa" w:w="1504"/>
          </w:tcPr>
          <w:p>
            <w:r/>
            <w:r>
              <w:rPr>
                <w:sz w:val="20"/>
              </w:rPr>
              <w:t>Proven at scale in production</w:t>
            </w:r>
          </w:p>
        </w:tc>
        <w:tc>
          <w:tcPr>
            <w:tcW w:type="dxa" w:w="1504"/>
          </w:tcPr>
          <w:p>
            <w:r/>
            <w:r>
              <w:rPr>
                <w:sz w:val="20"/>
              </w:rPr>
              <w:t>Minimal</w:t>
            </w:r>
          </w:p>
        </w:tc>
        <w:tc>
          <w:tcPr>
            <w:tcW w:type="dxa" w:w="1504"/>
          </w:tcPr>
          <w:p>
            <w:r/>
            <w:r>
              <w:rPr>
                <w:sz w:val="20"/>
              </w:rPr>
              <w:t>Strong fit; proceed</w:t>
            </w:r>
          </w:p>
        </w:tc>
      </w:tr>
      <w:tr>
        <w:tc>
          <w:tcPr>
            <w:tcW w:type="dxa" w:w="1504"/>
            <w:shd w:fill="E8F0F8" w:val="clear"/>
          </w:tcPr>
          <w:p>
            <w:r/>
            <w:r>
              <w:rPr>
                <w:sz w:val="20"/>
              </w:rPr>
              <w:t>4</w:t>
            </w:r>
          </w:p>
        </w:tc>
        <w:tc>
          <w:tcPr>
            <w:tcW w:type="dxa" w:w="1504"/>
            <w:shd w:fill="E8F0F8" w:val="clear"/>
          </w:tcPr>
          <w:p>
            <w:r/>
            <w:r>
              <w:rPr>
                <w:sz w:val="20"/>
              </w:rPr>
              <w:t>Strong</w:t>
            </w:r>
          </w:p>
        </w:tc>
        <w:tc>
          <w:tcPr>
            <w:tcW w:type="dxa" w:w="1504"/>
            <w:shd w:fill="E8F0F8" w:val="clear"/>
          </w:tcPr>
          <w:p>
            <w:r/>
            <w:r>
              <w:rPr>
                <w:sz w:val="20"/>
              </w:rPr>
              <w:t>Platform fully meets requirements with minor gaps</w:t>
            </w:r>
          </w:p>
        </w:tc>
        <w:tc>
          <w:tcPr>
            <w:tcW w:type="dxa" w:w="1504"/>
            <w:shd w:fill="E8F0F8" w:val="clear"/>
          </w:tcPr>
          <w:p>
            <w:r/>
            <w:r>
              <w:rPr>
                <w:sz w:val="20"/>
              </w:rPr>
              <w:t>Validated through POC or reference</w:t>
            </w:r>
          </w:p>
        </w:tc>
        <w:tc>
          <w:tcPr>
            <w:tcW w:type="dxa" w:w="1504"/>
            <w:shd w:fill="E8F0F8" w:val="clear"/>
          </w:tcPr>
          <w:p>
            <w:r/>
            <w:r>
              <w:rPr>
                <w:sz w:val="20"/>
              </w:rPr>
              <w:t>Low</w:t>
            </w:r>
          </w:p>
        </w:tc>
        <w:tc>
          <w:tcPr>
            <w:tcW w:type="dxa" w:w="1504"/>
            <w:shd w:fill="E8F0F8" w:val="clear"/>
          </w:tcPr>
          <w:p>
            <w:r/>
            <w:r>
              <w:rPr>
                <w:sz w:val="20"/>
              </w:rPr>
              <w:t>Good fit; address minor gaps</w:t>
            </w:r>
          </w:p>
        </w:tc>
      </w:tr>
      <w:tr>
        <w:tc>
          <w:tcPr>
            <w:tcW w:type="dxa" w:w="1504"/>
          </w:tcPr>
          <w:p>
            <w:r/>
            <w:r>
              <w:rPr>
                <w:sz w:val="20"/>
              </w:rPr>
              <w:t>3</w:t>
            </w:r>
          </w:p>
        </w:tc>
        <w:tc>
          <w:tcPr>
            <w:tcW w:type="dxa" w:w="1504"/>
          </w:tcPr>
          <w:p>
            <w:r/>
            <w:r>
              <w:rPr>
                <w:sz w:val="20"/>
              </w:rPr>
              <w:t>Adequate</w:t>
            </w:r>
          </w:p>
        </w:tc>
        <w:tc>
          <w:tcPr>
            <w:tcW w:type="dxa" w:w="1504"/>
          </w:tcPr>
          <w:p>
            <w:r/>
            <w:r>
              <w:rPr>
                <w:sz w:val="20"/>
              </w:rPr>
              <w:t>Platform meets core requirements but lacks differentiation</w:t>
            </w:r>
          </w:p>
        </w:tc>
        <w:tc>
          <w:tcPr>
            <w:tcW w:type="dxa" w:w="1504"/>
          </w:tcPr>
          <w:p>
            <w:r/>
            <w:r>
              <w:rPr>
                <w:sz w:val="20"/>
              </w:rPr>
              <w:t>Partially validated</w:t>
            </w:r>
          </w:p>
        </w:tc>
        <w:tc>
          <w:tcPr>
            <w:tcW w:type="dxa" w:w="1504"/>
          </w:tcPr>
          <w:p>
            <w:r/>
            <w:r>
              <w:rPr>
                <w:sz w:val="20"/>
              </w:rPr>
              <w:t>Moderate</w:t>
            </w:r>
          </w:p>
        </w:tc>
        <w:tc>
          <w:tcPr>
            <w:tcW w:type="dxa" w:w="1504"/>
          </w:tcPr>
          <w:p>
            <w:r/>
            <w:r>
              <w:rPr>
                <w:sz w:val="20"/>
              </w:rPr>
              <w:t>Acceptable; evaluate alternatives</w:t>
            </w:r>
          </w:p>
        </w:tc>
      </w:tr>
      <w:tr>
        <w:tc>
          <w:tcPr>
            <w:tcW w:type="dxa" w:w="1504"/>
            <w:shd w:fill="E8F0F8" w:val="clear"/>
          </w:tcPr>
          <w:p>
            <w:r/>
            <w:r>
              <w:rPr>
                <w:sz w:val="20"/>
              </w:rPr>
              <w:t>2</w:t>
            </w:r>
          </w:p>
        </w:tc>
        <w:tc>
          <w:tcPr>
            <w:tcW w:type="dxa" w:w="1504"/>
            <w:shd w:fill="E8F0F8" w:val="clear"/>
          </w:tcPr>
          <w:p>
            <w:r/>
            <w:r>
              <w:rPr>
                <w:sz w:val="20"/>
              </w:rPr>
              <w:t>Partial</w:t>
            </w:r>
          </w:p>
        </w:tc>
        <w:tc>
          <w:tcPr>
            <w:tcW w:type="dxa" w:w="1504"/>
            <w:shd w:fill="E8F0F8" w:val="clear"/>
          </w:tcPr>
          <w:p>
            <w:r/>
            <w:r>
              <w:rPr>
                <w:sz w:val="20"/>
              </w:rPr>
              <w:t>Platform meets some requirements with significant gaps</w:t>
            </w:r>
          </w:p>
        </w:tc>
        <w:tc>
          <w:tcPr>
            <w:tcW w:type="dxa" w:w="1504"/>
            <w:shd w:fill="E8F0F8" w:val="clear"/>
          </w:tcPr>
          <w:p>
            <w:r/>
            <w:r>
              <w:rPr>
                <w:sz w:val="20"/>
              </w:rPr>
              <w:t>Limited evidence</w:t>
            </w:r>
          </w:p>
        </w:tc>
        <w:tc>
          <w:tcPr>
            <w:tcW w:type="dxa" w:w="1504"/>
            <w:shd w:fill="E8F0F8" w:val="clear"/>
          </w:tcPr>
          <w:p>
            <w:r/>
            <w:r>
              <w:rPr>
                <w:sz w:val="20"/>
              </w:rPr>
              <w:t>High</w:t>
            </w:r>
          </w:p>
        </w:tc>
        <w:tc>
          <w:tcPr>
            <w:tcW w:type="dxa" w:w="1504"/>
            <w:shd w:fill="E8F0F8" w:val="clear"/>
          </w:tcPr>
          <w:p>
            <w:r/>
            <w:r>
              <w:rPr>
                <w:sz w:val="20"/>
              </w:rPr>
              <w:t>Proceed with caution; plan mitigations</w:t>
            </w:r>
          </w:p>
        </w:tc>
      </w:tr>
      <w:tr>
        <w:tc>
          <w:tcPr>
            <w:tcW w:type="dxa" w:w="1504"/>
          </w:tcPr>
          <w:p>
            <w:r/>
            <w:r>
              <w:rPr>
                <w:sz w:val="20"/>
              </w:rPr>
              <w:t>1</w:t>
            </w:r>
          </w:p>
        </w:tc>
        <w:tc>
          <w:tcPr>
            <w:tcW w:type="dxa" w:w="1504"/>
          </w:tcPr>
          <w:p>
            <w:r/>
            <w:r>
              <w:rPr>
                <w:sz w:val="20"/>
              </w:rPr>
              <w:t>Insufficient</w:t>
            </w:r>
          </w:p>
        </w:tc>
        <w:tc>
          <w:tcPr>
            <w:tcW w:type="dxa" w:w="1504"/>
          </w:tcPr>
          <w:p>
            <w:r/>
            <w:r>
              <w:rPr>
                <w:sz w:val="20"/>
              </w:rPr>
              <w:t>Platform does not meet fundamental requirements</w:t>
            </w:r>
          </w:p>
        </w:tc>
        <w:tc>
          <w:tcPr>
            <w:tcW w:type="dxa" w:w="1504"/>
          </w:tcPr>
          <w:p>
            <w:r/>
            <w:r>
              <w:rPr>
                <w:sz w:val="20"/>
              </w:rPr>
              <w:t>No evidence of capability</w:t>
            </w:r>
          </w:p>
        </w:tc>
        <w:tc>
          <w:tcPr>
            <w:tcW w:type="dxa" w:w="1504"/>
          </w:tcPr>
          <w:p>
            <w:r/>
            <w:r>
              <w:rPr>
                <w:sz w:val="20"/>
              </w:rPr>
              <w:t>Critical</w:t>
            </w:r>
          </w:p>
        </w:tc>
        <w:tc>
          <w:tcPr>
            <w:tcW w:type="dxa" w:w="1504"/>
          </w:tcPr>
          <w:p>
            <w:r/>
            <w:r>
              <w:rPr>
                <w:sz w:val="20"/>
              </w:rPr>
              <w:t>Not recommended</w:t>
            </w:r>
          </w:p>
        </w:tc>
      </w:tr>
    </w:tbl>
    <w:p/>
    <w:p>
      <w:pPr/>
      <w:r>
        <w:t>To calculate the final platform score, multiply each dimension score by its weight and sum the results. A weighted score of 4.0 or higher indicates a strong platform fit; 3.0–3.9 indicates an adequate fit with manageable gaps; below 3.0 indicates material risk that should be carefully evaluated before proceeding.</w:t>
      </w:r>
    </w:p>
    <w:p>
      <w:pPr>
        <w:pStyle w:val="Heading1"/>
      </w:pPr>
      <w:r>
        <w:rPr>
          <w:color w:val="0F4761"/>
          <w:sz w:val="40"/>
        </w:rPr>
        <w:t>5. Snowflake Assessment Summary</w:t>
      </w:r>
    </w:p>
    <w:p>
      <w:pPr/>
      <w:r>
        <w:t>The following pre-scored assessment reflects Mastech Digital’s evaluation of the Snowflake Data Cloud Platform based on production deployments, customer benchmarks, and analyst research. These scores represent a generalized assessment; individual client evaluations should incorporate organization-specific requirements and POC results.</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Dimension</w:t>
            </w:r>
          </w:p>
        </w:tc>
        <w:tc>
          <w:tcPr>
            <w:tcW w:type="dxa" w:w="1504"/>
            <w:shd w:fill="153D63" w:val="clear"/>
          </w:tcPr>
          <w:p>
            <w:r/>
            <w:r>
              <w:rPr>
                <w:b/>
                <w:color w:val="FFFFFF"/>
                <w:sz w:val="20"/>
              </w:rPr>
              <w:t>Weight</w:t>
            </w:r>
          </w:p>
        </w:tc>
        <w:tc>
          <w:tcPr>
            <w:tcW w:type="dxa" w:w="1504"/>
            <w:shd w:fill="153D63" w:val="clear"/>
          </w:tcPr>
          <w:p>
            <w:r/>
            <w:r>
              <w:rPr>
                <w:b/>
                <w:color w:val="FFFFFF"/>
                <w:sz w:val="20"/>
              </w:rPr>
              <w:t>Snowflake Score</w:t>
            </w:r>
          </w:p>
        </w:tc>
        <w:tc>
          <w:tcPr>
            <w:tcW w:type="dxa" w:w="1504"/>
            <w:shd w:fill="153D63" w:val="clear"/>
          </w:tcPr>
          <w:p>
            <w:r/>
            <w:r>
              <w:rPr>
                <w:b/>
                <w:color w:val="FFFFFF"/>
                <w:sz w:val="20"/>
              </w:rPr>
              <w:t>Weighted Score</w:t>
            </w:r>
          </w:p>
        </w:tc>
        <w:tc>
          <w:tcPr>
            <w:tcW w:type="dxa" w:w="1504"/>
            <w:shd w:fill="153D63" w:val="clear"/>
          </w:tcPr>
          <w:p>
            <w:r/>
            <w:r>
              <w:rPr>
                <w:b/>
                <w:color w:val="FFFFFF"/>
                <w:sz w:val="20"/>
              </w:rPr>
              <w:t>Key Strengths</w:t>
            </w:r>
          </w:p>
        </w:tc>
        <w:tc>
          <w:tcPr>
            <w:tcW w:type="dxa" w:w="1504"/>
            <w:shd w:fill="153D63" w:val="clear"/>
          </w:tcPr>
          <w:p>
            <w:r/>
            <w:r>
              <w:rPr>
                <w:b/>
                <w:color w:val="FFFFFF"/>
                <w:sz w:val="20"/>
              </w:rPr>
              <w:t>Potential Gaps</w:t>
            </w:r>
          </w:p>
        </w:tc>
      </w:tr>
      <w:tr>
        <w:tc>
          <w:tcPr>
            <w:tcW w:type="dxa" w:w="1504"/>
          </w:tcPr>
          <w:p>
            <w:r/>
            <w:r>
              <w:rPr>
                <w:sz w:val="20"/>
              </w:rPr>
              <w:t>Functionality</w:t>
            </w:r>
          </w:p>
        </w:tc>
        <w:tc>
          <w:tcPr>
            <w:tcW w:type="dxa" w:w="1504"/>
          </w:tcPr>
          <w:p>
            <w:r/>
            <w:r>
              <w:rPr>
                <w:sz w:val="20"/>
              </w:rPr>
              <w:t>25%</w:t>
            </w:r>
          </w:p>
        </w:tc>
        <w:tc>
          <w:tcPr>
            <w:tcW w:type="dxa" w:w="1504"/>
          </w:tcPr>
          <w:p>
            <w:r/>
            <w:r>
              <w:rPr>
                <w:sz w:val="20"/>
              </w:rPr>
              <w:t>5 – Exceptional</w:t>
            </w:r>
          </w:p>
        </w:tc>
        <w:tc>
          <w:tcPr>
            <w:tcW w:type="dxa" w:w="1504"/>
          </w:tcPr>
          <w:p>
            <w:r/>
            <w:r>
              <w:rPr>
                <w:sz w:val="20"/>
              </w:rPr>
              <w:t>1.25</w:t>
            </w:r>
          </w:p>
        </w:tc>
        <w:tc>
          <w:tcPr>
            <w:tcW w:type="dxa" w:w="1504"/>
          </w:tcPr>
          <w:p>
            <w:r/>
            <w:r>
              <w:rPr>
                <w:sz w:val="20"/>
              </w:rPr>
              <w:t>Unified data cloud; SQL+Spark+ML; DLT; serverless SQL</w:t>
            </w:r>
          </w:p>
        </w:tc>
        <w:tc>
          <w:tcPr>
            <w:tcW w:type="dxa" w:w="1504"/>
          </w:tcPr>
          <w:p>
            <w:r/>
            <w:r>
              <w:rPr>
                <w:sz w:val="20"/>
              </w:rPr>
              <w:t>Emerging BI capabilities (improving rapidly)</w:t>
            </w:r>
          </w:p>
        </w:tc>
      </w:tr>
      <w:tr>
        <w:tc>
          <w:tcPr>
            <w:tcW w:type="dxa" w:w="1504"/>
            <w:shd w:fill="E8F0F8" w:val="clear"/>
          </w:tcPr>
          <w:p>
            <w:r/>
            <w:r>
              <w:rPr>
                <w:sz w:val="20"/>
              </w:rPr>
              <w:t>Scalability</w:t>
            </w:r>
          </w:p>
        </w:tc>
        <w:tc>
          <w:tcPr>
            <w:tcW w:type="dxa" w:w="1504"/>
            <w:shd w:fill="E8F0F8" w:val="clear"/>
          </w:tcPr>
          <w:p>
            <w:r/>
            <w:r>
              <w:rPr>
                <w:sz w:val="20"/>
              </w:rPr>
              <w:t>20%</w:t>
            </w:r>
          </w:p>
        </w:tc>
        <w:tc>
          <w:tcPr>
            <w:tcW w:type="dxa" w:w="1504"/>
            <w:shd w:fill="E8F0F8" w:val="clear"/>
          </w:tcPr>
          <w:p>
            <w:r/>
            <w:r>
              <w:rPr>
                <w:sz w:val="20"/>
              </w:rPr>
              <w:t>5 – Exceptional</w:t>
            </w:r>
          </w:p>
        </w:tc>
        <w:tc>
          <w:tcPr>
            <w:tcW w:type="dxa" w:w="1504"/>
            <w:shd w:fill="E8F0F8" w:val="clear"/>
          </w:tcPr>
          <w:p>
            <w:r/>
            <w:r>
              <w:rPr>
                <w:sz w:val="20"/>
              </w:rPr>
              <w:t>1.00</w:t>
            </w:r>
          </w:p>
        </w:tc>
        <w:tc>
          <w:tcPr>
            <w:tcW w:type="dxa" w:w="1504"/>
            <w:shd w:fill="E8F0F8" w:val="clear"/>
          </w:tcPr>
          <w:p>
            <w:r/>
            <w:r>
              <w:rPr>
                <w:sz w:val="20"/>
              </w:rPr>
              <w:t>Snowflake’s query acceleration 3–5x performance; auto-scale; multi-cloud</w:t>
            </w:r>
          </w:p>
        </w:tc>
        <w:tc>
          <w:tcPr>
            <w:tcW w:type="dxa" w:w="1504"/>
            <w:shd w:fill="E8F0F8" w:val="clear"/>
          </w:tcPr>
          <w:p>
            <w:r/>
            <w:r>
              <w:rPr>
                <w:sz w:val="20"/>
              </w:rPr>
              <w:t>Multi-region active-active requires planning</w:t>
            </w:r>
          </w:p>
        </w:tc>
      </w:tr>
      <w:tr>
        <w:tc>
          <w:tcPr>
            <w:tcW w:type="dxa" w:w="1504"/>
          </w:tcPr>
          <w:p>
            <w:r/>
            <w:r>
              <w:rPr>
                <w:sz w:val="20"/>
              </w:rPr>
              <w:t>Governance &amp; Security</w:t>
            </w:r>
          </w:p>
        </w:tc>
        <w:tc>
          <w:tcPr>
            <w:tcW w:type="dxa" w:w="1504"/>
          </w:tcPr>
          <w:p>
            <w:r/>
            <w:r>
              <w:rPr>
                <w:sz w:val="20"/>
              </w:rPr>
              <w:t>20%</w:t>
            </w:r>
          </w:p>
        </w:tc>
        <w:tc>
          <w:tcPr>
            <w:tcW w:type="dxa" w:w="1504"/>
          </w:tcPr>
          <w:p>
            <w:r/>
            <w:r>
              <w:rPr>
                <w:sz w:val="20"/>
              </w:rPr>
              <w:t>4 – Strong</w:t>
            </w:r>
          </w:p>
        </w:tc>
        <w:tc>
          <w:tcPr>
            <w:tcW w:type="dxa" w:w="1504"/>
          </w:tcPr>
          <w:p>
            <w:r/>
            <w:r>
              <w:rPr>
                <w:sz w:val="20"/>
              </w:rPr>
              <w:t>0.80</w:t>
            </w:r>
          </w:p>
        </w:tc>
        <w:tc>
          <w:tcPr>
            <w:tcW w:type="dxa" w:w="1504"/>
          </w:tcPr>
          <w:p>
            <w:r/>
            <w:r>
              <w:rPr>
                <w:sz w:val="20"/>
              </w:rPr>
              <w:t>Snowflake Horizon; fine-grained ACLs; lineage; encryption</w:t>
            </w:r>
          </w:p>
        </w:tc>
        <w:tc>
          <w:tcPr>
            <w:tcW w:type="dxa" w:w="1504"/>
          </w:tcPr>
          <w:p>
            <w:r/>
            <w:r>
              <w:rPr>
                <w:sz w:val="20"/>
              </w:rPr>
              <w:t>Some advanced governance features still maturing</w:t>
            </w:r>
          </w:p>
        </w:tc>
      </w:tr>
      <w:tr>
        <w:tc>
          <w:tcPr>
            <w:tcW w:type="dxa" w:w="1504"/>
            <w:shd w:fill="E8F0F8" w:val="clear"/>
          </w:tcPr>
          <w:p>
            <w:r/>
            <w:r>
              <w:rPr>
                <w:sz w:val="20"/>
              </w:rPr>
              <w:t>Cost Model</w:t>
            </w:r>
          </w:p>
        </w:tc>
        <w:tc>
          <w:tcPr>
            <w:tcW w:type="dxa" w:w="1504"/>
            <w:shd w:fill="E8F0F8" w:val="clear"/>
          </w:tcPr>
          <w:p>
            <w:r/>
            <w:r>
              <w:rPr>
                <w:sz w:val="20"/>
              </w:rPr>
              <w:t>15%</w:t>
            </w:r>
          </w:p>
        </w:tc>
        <w:tc>
          <w:tcPr>
            <w:tcW w:type="dxa" w:w="1504"/>
            <w:shd w:fill="E8F0F8" w:val="clear"/>
          </w:tcPr>
          <w:p>
            <w:r/>
            <w:r>
              <w:rPr>
                <w:sz w:val="20"/>
              </w:rPr>
              <w:t>4 – Strong</w:t>
            </w:r>
          </w:p>
        </w:tc>
        <w:tc>
          <w:tcPr>
            <w:tcW w:type="dxa" w:w="1504"/>
            <w:shd w:fill="E8F0F8" w:val="clear"/>
          </w:tcPr>
          <w:p>
            <w:r/>
            <w:r>
              <w:rPr>
                <w:sz w:val="20"/>
              </w:rPr>
              <w:t>0.60</w:t>
            </w:r>
          </w:p>
        </w:tc>
        <w:tc>
          <w:tcPr>
            <w:tcW w:type="dxa" w:w="1504"/>
            <w:shd w:fill="E8F0F8" w:val="clear"/>
          </w:tcPr>
          <w:p>
            <w:r/>
            <w:r>
              <w:rPr>
                <w:sz w:val="20"/>
              </w:rPr>
              <w:t>Consumption-based; credit transparency; CUDs available</w:t>
            </w:r>
          </w:p>
        </w:tc>
        <w:tc>
          <w:tcPr>
            <w:tcW w:type="dxa" w:w="1504"/>
            <w:shd w:fill="E8F0F8" w:val="clear"/>
          </w:tcPr>
          <w:p>
            <w:r/>
            <w:r>
              <w:rPr>
                <w:sz w:val="20"/>
              </w:rPr>
              <w:t>Serverless premium can surprise if unmanaged</w:t>
            </w:r>
          </w:p>
        </w:tc>
      </w:tr>
      <w:tr>
        <w:tc>
          <w:tcPr>
            <w:tcW w:type="dxa" w:w="1504"/>
          </w:tcPr>
          <w:p>
            <w:r/>
            <w:r>
              <w:rPr>
                <w:sz w:val="20"/>
              </w:rPr>
              <w:t>Ecosystem &amp; Integration</w:t>
            </w:r>
          </w:p>
        </w:tc>
        <w:tc>
          <w:tcPr>
            <w:tcW w:type="dxa" w:w="1504"/>
          </w:tcPr>
          <w:p>
            <w:r/>
            <w:r>
              <w:rPr>
                <w:sz w:val="20"/>
              </w:rPr>
              <w:t>10%</w:t>
            </w:r>
          </w:p>
        </w:tc>
        <w:tc>
          <w:tcPr>
            <w:tcW w:type="dxa" w:w="1504"/>
          </w:tcPr>
          <w:p>
            <w:r/>
            <w:r>
              <w:rPr>
                <w:sz w:val="20"/>
              </w:rPr>
              <w:t>5 – Exceptional</w:t>
            </w:r>
          </w:p>
        </w:tc>
        <w:tc>
          <w:tcPr>
            <w:tcW w:type="dxa" w:w="1504"/>
          </w:tcPr>
          <w:p>
            <w:r/>
            <w:r>
              <w:rPr>
                <w:sz w:val="20"/>
              </w:rPr>
              <w:t>0.50</w:t>
            </w:r>
          </w:p>
        </w:tc>
        <w:tc>
          <w:tcPr>
            <w:tcW w:type="dxa" w:w="1504"/>
          </w:tcPr>
          <w:p>
            <w:r/>
            <w:r>
              <w:rPr>
                <w:sz w:val="20"/>
              </w:rPr>
              <w:t>Open formats; 100+ partners; API-first; Terraform</w:t>
            </w:r>
          </w:p>
        </w:tc>
        <w:tc>
          <w:tcPr>
            <w:tcW w:type="dxa" w:w="1504"/>
          </w:tcPr>
          <w:p>
            <w:r/>
            <w:r>
              <w:rPr>
                <w:sz w:val="20"/>
              </w:rPr>
              <w:t>Niche tool integrations may need custom development</w:t>
            </w:r>
          </w:p>
        </w:tc>
      </w:tr>
      <w:tr>
        <w:tc>
          <w:tcPr>
            <w:tcW w:type="dxa" w:w="1504"/>
            <w:shd w:fill="E8F0F8" w:val="clear"/>
          </w:tcPr>
          <w:p>
            <w:r/>
            <w:r>
              <w:rPr>
                <w:sz w:val="20"/>
              </w:rPr>
              <w:t>Vendor &amp; Partner</w:t>
            </w:r>
          </w:p>
        </w:tc>
        <w:tc>
          <w:tcPr>
            <w:tcW w:type="dxa" w:w="1504"/>
            <w:shd w:fill="E8F0F8" w:val="clear"/>
          </w:tcPr>
          <w:p>
            <w:r/>
            <w:r>
              <w:rPr>
                <w:sz w:val="20"/>
              </w:rPr>
              <w:t>10%</w:t>
            </w:r>
          </w:p>
        </w:tc>
        <w:tc>
          <w:tcPr>
            <w:tcW w:type="dxa" w:w="1504"/>
            <w:shd w:fill="E8F0F8" w:val="clear"/>
          </w:tcPr>
          <w:p>
            <w:r/>
            <w:r>
              <w:rPr>
                <w:sz w:val="20"/>
              </w:rPr>
              <w:t>5 – Exceptional</w:t>
            </w:r>
          </w:p>
        </w:tc>
        <w:tc>
          <w:tcPr>
            <w:tcW w:type="dxa" w:w="1504"/>
            <w:shd w:fill="E8F0F8" w:val="clear"/>
          </w:tcPr>
          <w:p>
            <w:r/>
            <w:r>
              <w:rPr>
                <w:sz w:val="20"/>
              </w:rPr>
              <w:t>0.50</w:t>
            </w:r>
          </w:p>
        </w:tc>
        <w:tc>
          <w:tcPr>
            <w:tcW w:type="dxa" w:w="1504"/>
            <w:shd w:fill="E8F0F8" w:val="clear"/>
          </w:tcPr>
          <w:p>
            <w:r/>
            <w:r>
              <w:rPr>
                <w:sz w:val="20"/>
              </w:rPr>
              <w:t>Gartner Leader; 10K+ customers; Mastech Elite Partner</w:t>
            </w:r>
          </w:p>
        </w:tc>
        <w:tc>
          <w:tcPr>
            <w:tcW w:type="dxa" w:w="1504"/>
            <w:shd w:fill="E8F0F8" w:val="clear"/>
          </w:tcPr>
          <w:p>
            <w:r/>
            <w:r>
              <w:rPr>
                <w:sz w:val="20"/>
              </w:rPr>
              <w:t>Pricing negotiations complex for large deals</w:t>
            </w:r>
          </w:p>
        </w:tc>
      </w:tr>
    </w:tbl>
    <w:p/>
    <w:p>
      <w:pPr/>
      <w:r>
        <w:t>Overall Weighted Score: 4.65 / 5.00 – The Snowflake Data Cloud Platform scores in the “Exceptional” range across the evaluation framework, reflecting its position as the leading unified data and AI platform in the market. Minor gaps in governance maturity and cost model predictability are actively addressable through Mastech Digital’s implementation methodology and platform operations capabilities.</w:t>
      </w:r>
    </w:p>
    <w:p>
      <w:pPr>
        <w:pStyle w:val="Heading1"/>
      </w:pPr>
      <w:r>
        <w:rPr>
          <w:color w:val="0F4761"/>
          <w:sz w:val="40"/>
        </w:rPr>
        <w:t>6. How Mastech Accelerates Value</w:t>
      </w:r>
    </w:p>
    <w:p>
      <w:pPr/>
      <w:r>
        <w:t>Mastech Digital’s five integrated Snowflake offerings directly map to the evaluation framework dimensions, ensuring that every aspect of the platform’s potential is realized through expert implementation, automation, and ongoing optimization.</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Evaluation Dimension</w:t>
            </w:r>
          </w:p>
        </w:tc>
        <w:tc>
          <w:tcPr>
            <w:tcW w:type="dxa" w:w="1504"/>
            <w:shd w:fill="153D63" w:val="clear"/>
          </w:tcPr>
          <w:p>
            <w:r/>
            <w:r>
              <w:rPr>
                <w:b/>
                <w:color w:val="FFFFFF"/>
                <w:sz w:val="20"/>
              </w:rPr>
              <w:t>Mastech Offering</w:t>
            </w:r>
          </w:p>
        </w:tc>
        <w:tc>
          <w:tcPr>
            <w:tcW w:type="dxa" w:w="1504"/>
            <w:shd w:fill="153D63" w:val="clear"/>
          </w:tcPr>
          <w:p>
            <w:r/>
            <w:r>
              <w:rPr>
                <w:b/>
                <w:color w:val="FFFFFF"/>
                <w:sz w:val="20"/>
              </w:rPr>
              <w:t>Value Delivered</w:t>
            </w:r>
          </w:p>
        </w:tc>
        <w:tc>
          <w:tcPr>
            <w:tcW w:type="dxa" w:w="1504"/>
            <w:shd w:fill="153D63" w:val="clear"/>
          </w:tcPr>
          <w:p>
            <w:r/>
            <w:r>
              <w:rPr>
                <w:b/>
                <w:color w:val="FFFFFF"/>
                <w:sz w:val="20"/>
              </w:rPr>
              <w:t>Key Accelerator</w:t>
            </w:r>
          </w:p>
        </w:tc>
        <w:tc>
          <w:tcPr>
            <w:tcW w:type="dxa" w:w="1504"/>
            <w:shd w:fill="153D63" w:val="clear"/>
          </w:tcPr>
          <w:p>
            <w:r/>
            <w:r>
              <w:rPr>
                <w:b/>
                <w:color w:val="FFFFFF"/>
                <w:sz w:val="20"/>
              </w:rPr>
              <w:t>Timeline Impact</w:t>
            </w:r>
          </w:p>
        </w:tc>
        <w:tc>
          <w:tcPr>
            <w:tcW w:type="dxa" w:w="1504"/>
            <w:shd w:fill="153D63" w:val="clear"/>
          </w:tcPr>
          <w:p>
            <w:r/>
            <w:r>
              <w:rPr>
                <w:b/>
                <w:color w:val="FFFFFF"/>
                <w:sz w:val="20"/>
              </w:rPr>
              <w:t>Cost Impact</w:t>
            </w:r>
          </w:p>
        </w:tc>
      </w:tr>
      <w:tr>
        <w:tc>
          <w:tcPr>
            <w:tcW w:type="dxa" w:w="1504"/>
          </w:tcPr>
          <w:p>
            <w:r/>
            <w:r>
              <w:rPr>
                <w:sz w:val="20"/>
              </w:rPr>
              <w:t>Functionality</w:t>
            </w:r>
          </w:p>
        </w:tc>
        <w:tc>
          <w:tcPr>
            <w:tcW w:type="dxa" w:w="1504"/>
          </w:tcPr>
          <w:p>
            <w:r/>
            <w:r>
              <w:rPr>
                <w:sz w:val="20"/>
              </w:rPr>
              <w:t>AI-Native Platform Modernization</w:t>
            </w:r>
          </w:p>
        </w:tc>
        <w:tc>
          <w:tcPr>
            <w:tcW w:type="dxa" w:w="1504"/>
          </w:tcPr>
          <w:p>
            <w:r/>
            <w:r>
              <w:rPr>
                <w:sz w:val="20"/>
              </w:rPr>
              <w:t>Full data cloud activation with legacy migration</w:t>
            </w:r>
          </w:p>
        </w:tc>
        <w:tc>
          <w:tcPr>
            <w:tcW w:type="dxa" w:w="1504"/>
          </w:tcPr>
          <w:p>
            <w:r/>
            <w:r>
              <w:rPr>
                <w:sz w:val="20"/>
              </w:rPr>
              <w:t>Mastech-owned SLMs for 50–70% faster migration</w:t>
            </w:r>
          </w:p>
        </w:tc>
        <w:tc>
          <w:tcPr>
            <w:tcW w:type="dxa" w:w="1504"/>
          </w:tcPr>
          <w:p>
            <w:r/>
            <w:r>
              <w:rPr>
                <w:sz w:val="20"/>
              </w:rPr>
              <w:t>3–6 months accelerated</w:t>
            </w:r>
          </w:p>
        </w:tc>
        <w:tc>
          <w:tcPr>
            <w:tcW w:type="dxa" w:w="1504"/>
          </w:tcPr>
          <w:p>
            <w:r/>
            <w:r>
              <w:rPr>
                <w:sz w:val="20"/>
              </w:rPr>
              <w:t>40–60% TCO reduction</w:t>
            </w:r>
          </w:p>
        </w:tc>
      </w:tr>
      <w:tr>
        <w:tc>
          <w:tcPr>
            <w:tcW w:type="dxa" w:w="1504"/>
            <w:shd w:fill="E8F0F8" w:val="clear"/>
          </w:tcPr>
          <w:p>
            <w:r/>
            <w:r>
              <w:rPr>
                <w:sz w:val="20"/>
              </w:rPr>
              <w:t>Functionality</w:t>
            </w:r>
          </w:p>
        </w:tc>
        <w:tc>
          <w:tcPr>
            <w:tcW w:type="dxa" w:w="1504"/>
            <w:shd w:fill="E8F0F8" w:val="clear"/>
          </w:tcPr>
          <w:p>
            <w:r/>
            <w:r>
              <w:rPr>
                <w:sz w:val="20"/>
              </w:rPr>
              <w:t>Autonomous Data Engineering</w:t>
            </w:r>
          </w:p>
        </w:tc>
        <w:tc>
          <w:tcPr>
            <w:tcW w:type="dxa" w:w="1504"/>
            <w:shd w:fill="E8F0F8" w:val="clear"/>
          </w:tcPr>
          <w:p>
            <w:r/>
            <w:r>
              <w:rPr>
                <w:sz w:val="20"/>
              </w:rPr>
              <w:t>AI agent-based pipeline orchestration</w:t>
            </w:r>
          </w:p>
        </w:tc>
        <w:tc>
          <w:tcPr>
            <w:tcW w:type="dxa" w:w="1504"/>
            <w:shd w:fill="E8F0F8" w:val="clear"/>
          </w:tcPr>
          <w:p>
            <w:r/>
            <w:r>
              <w:rPr>
                <w:sz w:val="20"/>
              </w:rPr>
              <w:t>Discovery, Ingestion, Quality agents on DLT</w:t>
            </w:r>
          </w:p>
        </w:tc>
        <w:tc>
          <w:tcPr>
            <w:tcW w:type="dxa" w:w="1504"/>
            <w:shd w:fill="E8F0F8" w:val="clear"/>
          </w:tcPr>
          <w:p>
            <w:r/>
            <w:r>
              <w:rPr>
                <w:sz w:val="20"/>
              </w:rPr>
              <w:t>70% effort reduction</w:t>
            </w:r>
          </w:p>
        </w:tc>
        <w:tc>
          <w:tcPr>
            <w:tcW w:type="dxa" w:w="1504"/>
            <w:shd w:fill="E8F0F8" w:val="clear"/>
          </w:tcPr>
          <w:p>
            <w:r/>
            <w:r>
              <w:rPr>
                <w:sz w:val="20"/>
              </w:rPr>
              <w:t>Reduced engineering headcount</w:t>
            </w:r>
          </w:p>
        </w:tc>
      </w:tr>
      <w:tr>
        <w:tc>
          <w:tcPr>
            <w:tcW w:type="dxa" w:w="1504"/>
          </w:tcPr>
          <w:p>
            <w:r/>
            <w:r>
              <w:rPr>
                <w:sz w:val="20"/>
              </w:rPr>
              <w:t>Scalability</w:t>
            </w:r>
          </w:p>
        </w:tc>
        <w:tc>
          <w:tcPr>
            <w:tcW w:type="dxa" w:w="1504"/>
          </w:tcPr>
          <w:p>
            <w:r/>
            <w:r>
              <w:rPr>
                <w:sz w:val="20"/>
              </w:rPr>
              <w:t>Autonomous Platform Operations</w:t>
            </w:r>
          </w:p>
        </w:tc>
        <w:tc>
          <w:tcPr>
            <w:tcW w:type="dxa" w:w="1504"/>
          </w:tcPr>
          <w:p>
            <w:r/>
            <w:r>
              <w:rPr>
                <w:sz w:val="20"/>
              </w:rPr>
              <w:t>AI-driven infrastructure optimization</w:t>
            </w:r>
          </w:p>
        </w:tc>
        <w:tc>
          <w:tcPr>
            <w:tcW w:type="dxa" w:w="1504"/>
          </w:tcPr>
          <w:p>
            <w:r/>
            <w:r>
              <w:rPr>
                <w:sz w:val="20"/>
              </w:rPr>
              <w:t>8-dimensional OODA framework</w:t>
            </w:r>
          </w:p>
        </w:tc>
        <w:tc>
          <w:tcPr>
            <w:tcW w:type="dxa" w:w="1504"/>
          </w:tcPr>
          <w:p>
            <w:r/>
            <w:r>
              <w:rPr>
                <w:sz w:val="20"/>
              </w:rPr>
              <w:t>99.9% SLA achievement</w:t>
            </w:r>
          </w:p>
        </w:tc>
        <w:tc>
          <w:tcPr>
            <w:tcW w:type="dxa" w:w="1504"/>
          </w:tcPr>
          <w:p>
            <w:r/>
            <w:r>
              <w:rPr>
                <w:sz w:val="20"/>
              </w:rPr>
              <w:t>25–45% cost reduction</w:t>
            </w:r>
          </w:p>
        </w:tc>
      </w:tr>
      <w:tr>
        <w:tc>
          <w:tcPr>
            <w:tcW w:type="dxa" w:w="1504"/>
            <w:shd w:fill="E8F0F8" w:val="clear"/>
          </w:tcPr>
          <w:p>
            <w:r/>
            <w:r>
              <w:rPr>
                <w:sz w:val="20"/>
              </w:rPr>
              <w:t>Governance &amp; Security</w:t>
            </w:r>
          </w:p>
        </w:tc>
        <w:tc>
          <w:tcPr>
            <w:tcW w:type="dxa" w:w="1504"/>
            <w:shd w:fill="E8F0F8" w:val="clear"/>
          </w:tcPr>
          <w:p>
            <w:r/>
            <w:r>
              <w:rPr>
                <w:sz w:val="20"/>
              </w:rPr>
              <w:t>All 5 Offerings</w:t>
            </w:r>
          </w:p>
        </w:tc>
        <w:tc>
          <w:tcPr>
            <w:tcW w:type="dxa" w:w="1504"/>
            <w:shd w:fill="E8F0F8" w:val="clear"/>
          </w:tcPr>
          <w:p>
            <w:r/>
            <w:r>
              <w:rPr>
                <w:sz w:val="20"/>
              </w:rPr>
              <w:t>Governance-first approach across all implementations</w:t>
            </w:r>
          </w:p>
        </w:tc>
        <w:tc>
          <w:tcPr>
            <w:tcW w:type="dxa" w:w="1504"/>
            <w:shd w:fill="E8F0F8" w:val="clear"/>
          </w:tcPr>
          <w:p>
            <w:r/>
            <w:r>
              <w:rPr>
                <w:sz w:val="20"/>
              </w:rPr>
              <w:t>Snowflake Horizon activation + GovernanceOps</w:t>
            </w:r>
          </w:p>
        </w:tc>
        <w:tc>
          <w:tcPr>
            <w:tcW w:type="dxa" w:w="1504"/>
            <w:shd w:fill="E8F0F8" w:val="clear"/>
          </w:tcPr>
          <w:p>
            <w:r/>
            <w:r>
              <w:rPr>
                <w:sz w:val="20"/>
              </w:rPr>
              <w:t>Day-1 governance</w:t>
            </w:r>
          </w:p>
        </w:tc>
        <w:tc>
          <w:tcPr>
            <w:tcW w:type="dxa" w:w="1504"/>
            <w:shd w:fill="E8F0F8" w:val="clear"/>
          </w:tcPr>
          <w:p>
            <w:r/>
            <w:r>
              <w:rPr>
                <w:sz w:val="20"/>
              </w:rPr>
              <w:t>Compliance cost avoidance</w:t>
            </w:r>
          </w:p>
        </w:tc>
      </w:tr>
      <w:tr>
        <w:tc>
          <w:tcPr>
            <w:tcW w:type="dxa" w:w="1504"/>
          </w:tcPr>
          <w:p>
            <w:r/>
            <w:r>
              <w:rPr>
                <w:sz w:val="20"/>
              </w:rPr>
              <w:t>Cost Model</w:t>
            </w:r>
          </w:p>
        </w:tc>
        <w:tc>
          <w:tcPr>
            <w:tcW w:type="dxa" w:w="1504"/>
          </w:tcPr>
          <w:p>
            <w:r/>
            <w:r>
              <w:rPr>
                <w:sz w:val="20"/>
              </w:rPr>
              <w:t>Autonomous Platform Operations</w:t>
            </w:r>
          </w:p>
        </w:tc>
        <w:tc>
          <w:tcPr>
            <w:tcW w:type="dxa" w:w="1504"/>
          </w:tcPr>
          <w:p>
            <w:r/>
            <w:r>
              <w:rPr>
                <w:sz w:val="20"/>
              </w:rPr>
              <w:t>Continuous cost optimization via CostOps</w:t>
            </w:r>
          </w:p>
        </w:tc>
        <w:tc>
          <w:tcPr>
            <w:tcW w:type="dxa" w:w="1504"/>
          </w:tcPr>
          <w:p>
            <w:r/>
            <w:r>
              <w:rPr>
                <w:sz w:val="20"/>
              </w:rPr>
              <w:t>AI-driven resource right-sizing</w:t>
            </w:r>
          </w:p>
        </w:tc>
        <w:tc>
          <w:tcPr>
            <w:tcW w:type="dxa" w:w="1504"/>
          </w:tcPr>
          <w:p>
            <w:r/>
            <w:r>
              <w:rPr>
                <w:sz w:val="20"/>
              </w:rPr>
              <w:t>Ongoing optimization</w:t>
            </w:r>
          </w:p>
        </w:tc>
        <w:tc>
          <w:tcPr>
            <w:tcW w:type="dxa" w:w="1504"/>
          </w:tcPr>
          <w:p>
            <w:r/>
            <w:r>
              <w:rPr>
                <w:sz w:val="20"/>
              </w:rPr>
              <w:t>25–45% infrastructure savings</w:t>
            </w:r>
          </w:p>
        </w:tc>
      </w:tr>
      <w:tr>
        <w:tc>
          <w:tcPr>
            <w:tcW w:type="dxa" w:w="1504"/>
            <w:shd w:fill="E8F0F8" w:val="clear"/>
          </w:tcPr>
          <w:p>
            <w:r/>
            <w:r>
              <w:rPr>
                <w:sz w:val="20"/>
              </w:rPr>
              <w:t>Ecosystem &amp; Integration</w:t>
            </w:r>
          </w:p>
        </w:tc>
        <w:tc>
          <w:tcPr>
            <w:tcW w:type="dxa" w:w="1504"/>
            <w:shd w:fill="E8F0F8" w:val="clear"/>
          </w:tcPr>
          <w:p>
            <w:r/>
            <w:r>
              <w:rPr>
                <w:sz w:val="20"/>
              </w:rPr>
              <w:t>Autonomous Analytics &amp; BI</w:t>
            </w:r>
          </w:p>
        </w:tc>
        <w:tc>
          <w:tcPr>
            <w:tcW w:type="dxa" w:w="1504"/>
            <w:shd w:fill="E8F0F8" w:val="clear"/>
          </w:tcPr>
          <w:p>
            <w:r/>
            <w:r>
              <w:rPr>
                <w:sz w:val="20"/>
              </w:rPr>
              <w:t>NL analytics and self-service BI integration</w:t>
            </w:r>
          </w:p>
        </w:tc>
        <w:tc>
          <w:tcPr>
            <w:tcW w:type="dxa" w:w="1504"/>
            <w:shd w:fill="E8F0F8" w:val="clear"/>
          </w:tcPr>
          <w:p>
            <w:r/>
            <w:r>
              <w:rPr>
                <w:sz w:val="20"/>
              </w:rPr>
              <w:t>Chief Analytics Agent; 100x faster insights</w:t>
            </w:r>
          </w:p>
        </w:tc>
        <w:tc>
          <w:tcPr>
            <w:tcW w:type="dxa" w:w="1504"/>
            <w:shd w:fill="E8F0F8" w:val="clear"/>
          </w:tcPr>
          <w:p>
            <w:r/>
            <w:r>
              <w:rPr>
                <w:sz w:val="20"/>
              </w:rPr>
              <w:t>90% user adoption</w:t>
            </w:r>
          </w:p>
        </w:tc>
        <w:tc>
          <w:tcPr>
            <w:tcW w:type="dxa" w:w="1504"/>
            <w:shd w:fill="E8F0F8" w:val="clear"/>
          </w:tcPr>
          <w:p>
            <w:r/>
            <w:r>
              <w:rPr>
                <w:sz w:val="20"/>
              </w:rPr>
              <w:t>Reduced BI tool sprawl</w:t>
            </w:r>
          </w:p>
        </w:tc>
      </w:tr>
    </w:tbl>
    <w:p/>
    <w:p>
      <w:pPr/>
      <w:r>
        <w:t>By engaging Mastech Digital as the Snowflake implementation and operations partner, organizations not only select a best-in-class platform but also unlock a proven delivery methodology that de-risks implementation, accelerates time-to-value, and ensures sustained operational excellence.</w:t>
      </w:r>
    </w:p>
    <w:p>
      <w:pPr>
        <w:pStyle w:val="Heading1"/>
      </w:pPr>
      <w:r>
        <w:rPr>
          <w:color w:val="0F4761"/>
          <w:sz w:val="40"/>
        </w:rPr>
        <w:t>7. Conclusion</w:t>
      </w:r>
    </w:p>
    <w:p>
      <w:pPr/>
      <w:r>
        <w:t>The Snowflake Data Cloud Platform, evaluated through this structured framework, demonstrates exceptional capability across all six dimensions critical to enterprise data and AI success. Its unified architecture eliminates the fragmentation that characterizes competing multi-vendor approaches, its open standards prevent lock-in, and its consumption-based pricing aligns cost with value delivered.</w:t>
      </w:r>
    </w:p>
    <w:p>
      <w:pPr/>
      <w:r>
        <w:t>Mastech Digital’s role as a Snowflake Elite Partner and the developer of proprietary SLM-based migration accelerators and autonomous agent frameworks further strengthens the value proposition. Together, Snowflake and Mastech Digital deliver not just a platform, but a comprehensive data and AI capability that drives measurable business outcomes.</w:t>
      </w:r>
    </w:p>
    <w:p>
      <w:pPr/>
      <w:r>
        <w:t>We encourage evaluation teams to use this framework as a starting point, customize dimension weights to reflect organizational priorities, and engage Mastech Digital for a tailored assessment workshop that includes proof-of-concept validation on their specific data and workloads.</w:t>
      </w:r>
    </w:p>
    <w:sectPr w:rsidR="00C2447B"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tabs>
        <w:tab w:val="right" w:pos="9360"/>
      </w:tabs>
    </w:pPr>
    <w:r>
      <w:rPr>
        <w:sz w:val="18"/>
      </w:rPr>
      <w:t>Intended for internal use and client delivery</w:t>
    </w:r>
    <w:r>
      <w:rPr>
        <w:sz w:val="18"/>
      </w:rPr>
      <w:tab/>
    </w:r>
    <w:r>
      <w:rPr>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sz w:val="18"/>
      </w:rPr>
      <w:t>Proprietary to Mastech Digital. All rights reserved.</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