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
    <w:p/>
    <w:p/>
    <w:p>
      <w:pPr>
        <w:pStyle w:val="Title"/>
        <w:jc w:val="left"/>
      </w:pPr>
      <w:r>
        <w:rPr>
          <w:color w:val="0F4761"/>
          <w:sz w:val="56"/>
        </w:rPr>
        <w:t>Sales Collateral – Decision Process</w:t>
      </w:r>
    </w:p>
    <w:p>
      <w:pPr>
        <w:pStyle w:val="Title"/>
        <w:jc w:val="left"/>
      </w:pPr>
      <w:r>
        <w:rPr>
          <w:b/>
          <w:color w:val="0F4761"/>
          <w:sz w:val="72"/>
        </w:rPr>
        <w:t>Proof of Value (POV) Proposal Template</w:t>
      </w:r>
    </w:p>
    <w:p>
      <w:pPr>
        <w:pStyle w:val="Subtitle"/>
        <w:jc w:val="left"/>
      </w:pPr>
      <w:r>
        <w:rPr>
          <w:color w:val="595959"/>
          <w:sz w:val="36"/>
        </w:rPr>
        <w:t>Structured Validation Framework for Snowflake Solutions</w:t>
      </w:r>
    </w:p>
    <w:p/>
    <w:p/>
    <w:p>
      <w:pPr>
        <w:jc w:val="left"/>
      </w:pPr>
      <w:r>
        <w:rPr>
          <w:b/>
          <w:color w:val="0F4761"/>
          <w:sz w:val="28"/>
        </w:rPr>
        <w:t>Mastech Digital  |  Snowflake Elite Partner</w:t>
      </w:r>
    </w:p>
    <w:p>
      <w:r>
        <w:rPr>
          <w:color w:val="595959"/>
          <w:sz w:val="22"/>
        </w:rPr>
        <w:t>Confidential — For Internal Use and Client Delivery</w:t>
      </w:r>
    </w:p>
    <w:p>
      <w:r>
        <w:br w:type="page"/>
      </w:r>
    </w:p>
    <w:p>
      <w:pPr>
        <w:pStyle w:val="Heading1"/>
      </w:pPr>
      <w:r>
        <w:rPr>
          <w:color w:val="0F4761"/>
          <w:sz w:val="40"/>
        </w:rPr>
        <w:t>1. Executive Summary</w:t>
      </w:r>
    </w:p>
    <w:p>
      <w:r>
        <w:rPr>
          <w:sz w:val="22"/>
        </w:rPr>
        <w:t>In complex enterprise data and AI transformations, the decision to invest in a new platform carries significant organizational risk. Stakeholders must balance the promise of innovation against the reality of budget constraints, migration complexity, and organizational change. The Proof of Value (POV) engagement is Mastech Digital’s structured mechanism for de-risking the buying decision by delivering measurable, tangible results before full commitment.</w:t>
      </w:r>
    </w:p>
    <w:p>
      <w:r>
        <w:rPr>
          <w:sz w:val="22"/>
        </w:rPr>
        <w:t>This POV Proposal Template provides a standardized framework for structuring validation engagements across all five Snowflake offerings in Mastech Digital’s portfolio. By aligning the POV to specific business outcomes—such as 50–70% faster migration timelines, 40–60% TCO reduction, or 70% effort reduction in data engineering—the POV transforms from a technical exercise into a strategic decision-making instrument that empowers executive sponsors with evidence-based confidence.</w:t>
      </w:r>
    </w:p>
    <w:p>
      <w:r>
        <w:rPr>
          <w:sz w:val="22"/>
        </w:rPr>
        <w:t>The POV framework is designed to address three critical questions that every buying committee must answer: Does the technology work in our environment? Can the implementation partner deliver on their promises? And does the business case hold up under scrutiny? By systematically addressing each of these questions through a phased, time-boxed engagement, Mastech Digital enables clients to move from evaluation to commitment with clarity and conviction.</w:t>
      </w:r>
    </w:p>
    <w:p>
      <w:pPr>
        <w:pStyle w:val="Heading1"/>
      </w:pPr>
      <w:r>
        <w:rPr>
          <w:color w:val="0F4761"/>
          <w:sz w:val="40"/>
        </w:rPr>
        <w:t>2. POV Objectives</w:t>
      </w:r>
    </w:p>
    <w:p>
      <w:r>
        <w:rPr>
          <w:sz w:val="22"/>
        </w:rPr>
        <w:t>The Proof of Value engagement is designed to validate the viability of Snowflake-powered solutions across three dimensions: technical feasibility, performance benchmarks, and business value realization. Each dimension addresses a distinct stakeholder concern and collectively provides the evidence base required for an informed investment decision.</w:t>
      </w:r>
    </w:p>
    <w:p>
      <w:r>
        <w:rPr>
          <w:sz w:val="22"/>
        </w:rPr>
        <w:t>Unlike traditional proof-of-concept exercises that focus narrowly on feature demonstration, the Mastech Digital POV methodology produces production-grade artifacts that accelerate the subsequent full implementation. This approach ensures that the time and resources invested in the POV generate compounding value beyond the evaluation phase.</w:t>
      </w:r>
    </w:p>
    <w:p>
      <w:pPr>
        <w:pStyle w:val="ListParagraph"/>
        <w:numPr>
          <w:ilvl w:val="0"/>
          <w:numId w:val="1"/>
        </w:numPr>
      </w:pPr>
      <w:r>
        <w:rPr>
          <w:b/>
          <w:sz w:val="22"/>
        </w:rPr>
        <w:t xml:space="preserve">Technical Feasibility Validation: </w:t>
      </w:r>
      <w:r>
        <w:rPr>
          <w:sz w:val="22"/>
        </w:rPr>
        <w:t>Demonstrate that the proposed architecture operates correctly within the client’s existing infrastructure, data landscape, and security posture. Validate integration points with source systems, identity providers, and downstream consumers.</w:t>
      </w:r>
    </w:p>
    <w:p>
      <w:pPr>
        <w:pStyle w:val="ListParagraph"/>
        <w:numPr>
          <w:ilvl w:val="0"/>
          <w:numId w:val="1"/>
        </w:numPr>
      </w:pPr>
      <w:r>
        <w:rPr>
          <w:b/>
          <w:sz w:val="22"/>
        </w:rPr>
        <w:t xml:space="preserve">Performance Benchmarking: </w:t>
      </w:r>
      <w:r>
        <w:rPr>
          <w:sz w:val="22"/>
        </w:rPr>
        <w:t>Establish quantified baselines for processing speed, query latency, model training time, and resource utilization. Compare against current-state metrics to validate improvement claims such as 50–70% faster migration or 100x faster insights.</w:t>
      </w:r>
    </w:p>
    <w:p>
      <w:pPr>
        <w:pStyle w:val="ListParagraph"/>
        <w:numPr>
          <w:ilvl w:val="0"/>
          <w:numId w:val="1"/>
        </w:numPr>
      </w:pPr>
      <w:r>
        <w:rPr>
          <w:b/>
          <w:sz w:val="22"/>
        </w:rPr>
        <w:t xml:space="preserve">Business Value Demonstration: </w:t>
      </w:r>
      <w:r>
        <w:rPr>
          <w:sz w:val="22"/>
        </w:rPr>
        <w:t>Translate technical outcomes into financial and operational metrics including TCO reduction, effort savings, time-to-insight improvement, and revenue impact. Produce a validated business case that the CFO and executive sponsors can use for investment approval.</w:t>
      </w:r>
    </w:p>
    <w:p>
      <w:pPr>
        <w:pStyle w:val="ListParagraph"/>
        <w:numPr>
          <w:ilvl w:val="0"/>
          <w:numId w:val="1"/>
        </w:numPr>
      </w:pPr>
      <w:r>
        <w:rPr>
          <w:b/>
          <w:sz w:val="22"/>
        </w:rPr>
        <w:t xml:space="preserve">Risk Identification &amp; Mitigation: </w:t>
      </w:r>
      <w:r>
        <w:rPr>
          <w:sz w:val="22"/>
        </w:rPr>
        <w:t>Surface technical, organizational, and process risks early in the engagement cycle, enabling proactive mitigation planning before full-scale implementation commitment.</w:t>
      </w:r>
    </w:p>
    <w:p>
      <w:pPr>
        <w:pStyle w:val="ListParagraph"/>
        <w:numPr>
          <w:ilvl w:val="0"/>
          <w:numId w:val="1"/>
        </w:numPr>
      </w:pPr>
      <w:r>
        <w:rPr>
          <w:b/>
          <w:sz w:val="22"/>
        </w:rPr>
        <w:t xml:space="preserve">Team Capability Assessment: </w:t>
      </w:r>
      <w:r>
        <w:rPr>
          <w:sz w:val="22"/>
        </w:rPr>
        <w:t>Evaluate the client organization’s readiness for the proposed solution, including skills gaps, change management requirements, and training needs that must be addressed during full implementation.</w:t>
      </w:r>
    </w:p>
    <w:p>
      <w:pPr>
        <w:pStyle w:val="Heading1"/>
      </w:pPr>
      <w:r>
        <w:rPr>
          <w:color w:val="0F4761"/>
          <w:sz w:val="40"/>
        </w:rPr>
        <w:t>3. Scope Definition Framework</w:t>
      </w:r>
    </w:p>
    <w:p>
      <w:r>
        <w:rPr>
          <w:sz w:val="22"/>
        </w:rPr>
        <w:t>The scope of each POV is tailored to the specific Snowflake offering under evaluation. The following frameworks define the minimum viable scope for each offering, ensuring that the POV produces sufficient evidence for a confident go/no-go decision while remaining achievable within the 4–6 week timeline.</w:t>
      </w:r>
    </w:p>
    <w:p>
      <w:pPr>
        <w:pStyle w:val="Heading2"/>
      </w:pPr>
      <w:r>
        <w:rPr>
          <w:color w:val="0F4761"/>
          <w:sz w:val="32"/>
        </w:rPr>
        <w:t>3.1 Platform Modernization POV</w:t>
      </w:r>
    </w:p>
    <w:p>
      <w:r>
        <w:rPr>
          <w:sz w:val="22"/>
        </w:rPr>
        <w:t>The Platform Modernization POV focuses on validating Mastech Digital’s SLM-driven automation approach to migrating legacy data warehouse and ETL workloads to the Snowflake Data Cloud Platform. The POV scope is designed to demonstrate the automation capabilities that drive the 50–70% faster migration claim while producing reusable migration assets.</w:t>
      </w:r>
    </w:p>
    <w:p>
      <w:pPr>
        <w:pStyle w:val="ListParagraph"/>
        <w:numPr>
          <w:ilvl w:val="0"/>
          <w:numId w:val="1"/>
        </w:numPr>
      </w:pPr>
      <w:r>
        <w:rPr>
          <w:b/>
          <w:sz w:val="22"/>
        </w:rPr>
        <w:t xml:space="preserve">Representative Workload Selection: </w:t>
      </w:r>
      <w:r>
        <w:rPr>
          <w:sz w:val="22"/>
        </w:rPr>
        <w:t>Identify and migrate 2–3 representative workloads spanning different complexity tiers (simple ETL, complex transformation, and reporting/analytics) to validate the SLM automation across diverse scenarios.</w:t>
      </w:r>
    </w:p>
    <w:p>
      <w:pPr>
        <w:pStyle w:val="ListParagraph"/>
        <w:numPr>
          <w:ilvl w:val="0"/>
          <w:numId w:val="1"/>
        </w:numPr>
      </w:pPr>
      <w:r>
        <w:rPr>
          <w:b/>
          <w:sz w:val="22"/>
        </w:rPr>
        <w:t xml:space="preserve">SLM Automation Demonstration: </w:t>
      </w:r>
      <w:r>
        <w:rPr>
          <w:sz w:val="22"/>
        </w:rPr>
        <w:t>Deploy the Small Language Model automation framework to perform automated code conversion, schema mapping, and logic translation from legacy platforms (Informatica, SSIS, Teradata, Oracle) to Snowflake SQL and PySpark.</w:t>
      </w:r>
    </w:p>
    <w:p>
      <w:pPr>
        <w:pStyle w:val="ListParagraph"/>
        <w:numPr>
          <w:ilvl w:val="0"/>
          <w:numId w:val="1"/>
        </w:numPr>
      </w:pPr>
      <w:r>
        <w:rPr>
          <w:b/>
          <w:sz w:val="22"/>
        </w:rPr>
        <w:t xml:space="preserve">Performance Validation: </w:t>
      </w:r>
      <w:r>
        <w:rPr>
          <w:sz w:val="22"/>
        </w:rPr>
        <w:t>Execute migrated workloads in the Snowflake environment and compare processing times, data quality scores, and resource utilization against legacy baselines. Target: demonstrate measurable performance improvement and validate TCO reduction projections.</w:t>
      </w:r>
    </w:p>
    <w:p>
      <w:pPr>
        <w:pStyle w:val="ListParagraph"/>
        <w:numPr>
          <w:ilvl w:val="0"/>
          <w:numId w:val="1"/>
        </w:numPr>
      </w:pPr>
      <w:r>
        <w:rPr>
          <w:b/>
          <w:sz w:val="22"/>
        </w:rPr>
        <w:t xml:space="preserve">Data Quality Assurance: </w:t>
      </w:r>
      <w:r>
        <w:rPr>
          <w:sz w:val="22"/>
        </w:rPr>
        <w:t>Implement automated reconciliation between source and target to validate row counts, aggregate values, and business rule compliance across all migrated workloads.</w:t>
      </w:r>
    </w:p>
    <w:p>
      <w:pPr>
        <w:pStyle w:val="Heading2"/>
      </w:pPr>
      <w:r>
        <w:rPr>
          <w:color w:val="0F4761"/>
          <w:sz w:val="32"/>
        </w:rPr>
        <w:t>3.2 Data Engineering POV</w:t>
      </w:r>
    </w:p>
    <w:p>
      <w:r>
        <w:rPr>
          <w:sz w:val="22"/>
        </w:rPr>
        <w:t>The Data Engineering POV validates the autonomous pipeline orchestration capability, demonstrating how AI agent-based automation can reduce manual engineering effort by 70% while improving data quality and governance compliance.</w:t>
      </w:r>
    </w:p>
    <w:p>
      <w:pPr>
        <w:pStyle w:val="ListParagraph"/>
        <w:numPr>
          <w:ilvl w:val="0"/>
          <w:numId w:val="1"/>
        </w:numPr>
      </w:pPr>
      <w:r>
        <w:rPr>
          <w:b/>
          <w:sz w:val="22"/>
        </w:rPr>
        <w:t xml:space="preserve">Automated Pipeline Construction: </w:t>
      </w:r>
      <w:r>
        <w:rPr>
          <w:sz w:val="22"/>
        </w:rPr>
        <w:t>Build 3–5 automated data pipelines using Snowflake Dynamic Tables (DLT) and Mastech’s AI agents to demonstrate end-to-end automation from ingestion through transformation to serving layer.</w:t>
      </w:r>
    </w:p>
    <w:p>
      <w:pPr>
        <w:pStyle w:val="ListParagraph"/>
        <w:numPr>
          <w:ilvl w:val="0"/>
          <w:numId w:val="1"/>
        </w:numPr>
      </w:pPr>
      <w:r>
        <w:rPr>
          <w:b/>
          <w:sz w:val="22"/>
        </w:rPr>
        <w:t xml:space="preserve">Data Quality Agent Deployment: </w:t>
      </w:r>
      <w:r>
        <w:rPr>
          <w:sz w:val="22"/>
        </w:rPr>
        <w:t>Deploy autonomous quality monitoring agents that detect anomalies, enforce schema evolution policies, and trigger automated remediation workflows without human intervention.</w:t>
      </w:r>
    </w:p>
    <w:p>
      <w:pPr>
        <w:pStyle w:val="ListParagraph"/>
        <w:numPr>
          <w:ilvl w:val="0"/>
          <w:numId w:val="1"/>
        </w:numPr>
      </w:pPr>
      <w:r>
        <w:rPr>
          <w:b/>
          <w:sz w:val="22"/>
        </w:rPr>
        <w:t xml:space="preserve">Governance Framework Validation: </w:t>
      </w:r>
      <w:r>
        <w:rPr>
          <w:sz w:val="22"/>
        </w:rPr>
        <w:t>Implement Snowflake Horizon-based governance across POV pipelines, demonstrating fine-grained access control, data lineage tracking, and compliance audit trail generation.</w:t>
      </w:r>
    </w:p>
    <w:p>
      <w:pPr>
        <w:pStyle w:val="ListParagraph"/>
        <w:numPr>
          <w:ilvl w:val="0"/>
          <w:numId w:val="1"/>
        </w:numPr>
      </w:pPr>
      <w:r>
        <w:rPr>
          <w:b/>
          <w:sz w:val="22"/>
        </w:rPr>
        <w:t xml:space="preserve">Snowflake Managed Tables with Apache Iceberg Optimization: </w:t>
      </w:r>
      <w:r>
        <w:rPr>
          <w:sz w:val="22"/>
        </w:rPr>
        <w:t>Demonstrate Snowflake Managed Tables with Apache Iceberg features including ACID transactions, time travel, Z-ordering, and liquid clustering to validate performance and reliability claims.</w:t>
      </w:r>
    </w:p>
    <w:p>
      <w:pPr>
        <w:pStyle w:val="Heading2"/>
      </w:pPr>
      <w:r>
        <w:rPr>
          <w:color w:val="0F4761"/>
          <w:sz w:val="32"/>
        </w:rPr>
        <w:t>3.3 Analytics &amp; BI POV</w:t>
      </w:r>
    </w:p>
    <w:p>
      <w:r>
        <w:rPr>
          <w:sz w:val="22"/>
        </w:rPr>
        <w:t>The Analytics &amp; BI POV demonstrates the transformative impact of natural language analytics and self-service BI capabilities, targeting the 100x faster insights and 90% user adoption metrics that differentiate Mastech Digital’s autonomous analytics offering.</w:t>
      </w:r>
    </w:p>
    <w:p>
      <w:pPr>
        <w:pStyle w:val="ListParagraph"/>
        <w:numPr>
          <w:ilvl w:val="0"/>
          <w:numId w:val="1"/>
        </w:numPr>
      </w:pPr>
      <w:r>
        <w:rPr>
          <w:b/>
          <w:sz w:val="22"/>
        </w:rPr>
        <w:t xml:space="preserve">Natural Language Analytics Deployment: </w:t>
      </w:r>
      <w:r>
        <w:rPr>
          <w:sz w:val="22"/>
        </w:rPr>
        <w:t>Deploy NL analytics interfaces for 1–2 business domains (e.g., Sales Analytics, Financial Reporting), enabling business users to query data using conversational language rather than SQL or dashboard navigation.</w:t>
      </w:r>
    </w:p>
    <w:p>
      <w:pPr>
        <w:pStyle w:val="ListParagraph"/>
        <w:numPr>
          <w:ilvl w:val="0"/>
          <w:numId w:val="1"/>
        </w:numPr>
      </w:pPr>
      <w:r>
        <w:rPr>
          <w:b/>
          <w:sz w:val="22"/>
        </w:rPr>
        <w:t xml:space="preserve">Self-Service Dashboard Automation: </w:t>
      </w:r>
      <w:r>
        <w:rPr>
          <w:sz w:val="22"/>
        </w:rPr>
        <w:t>Demonstrate AI-generated dashboards and visualizations that automatically adapt to user roles, data context, and business questions without manual report development.</w:t>
      </w:r>
    </w:p>
    <w:p>
      <w:pPr>
        <w:pStyle w:val="ListParagraph"/>
        <w:numPr>
          <w:ilvl w:val="0"/>
          <w:numId w:val="1"/>
        </w:numPr>
      </w:pPr>
      <w:r>
        <w:rPr>
          <w:b/>
          <w:sz w:val="22"/>
        </w:rPr>
        <w:t xml:space="preserve">Semantic Layer Configuration: </w:t>
      </w:r>
      <w:r>
        <w:rPr>
          <w:sz w:val="22"/>
        </w:rPr>
        <w:t>Establish a governed semantic layer that ensures consistent metric definitions, business logic, and terminology across all analytics interfaces and user groups.</w:t>
      </w:r>
    </w:p>
    <w:p>
      <w:pPr>
        <w:pStyle w:val="ListParagraph"/>
        <w:numPr>
          <w:ilvl w:val="0"/>
          <w:numId w:val="1"/>
        </w:numPr>
      </w:pPr>
      <w:r>
        <w:rPr>
          <w:b/>
          <w:sz w:val="22"/>
        </w:rPr>
        <w:t xml:space="preserve">User Adoption Measurement: </w:t>
      </w:r>
      <w:r>
        <w:rPr>
          <w:sz w:val="22"/>
        </w:rPr>
        <w:t>Track engagement metrics including query volume, unique active users, time-to-answer, and user satisfaction scores to validate adoption projections.</w:t>
      </w:r>
    </w:p>
    <w:p>
      <w:pPr>
        <w:pStyle w:val="Heading2"/>
      </w:pPr>
      <w:r>
        <w:rPr>
          <w:color w:val="0F4761"/>
          <w:sz w:val="32"/>
        </w:rPr>
        <w:t>3.4 Data Science POV</w:t>
      </w:r>
    </w:p>
    <w:p>
      <w:r>
        <w:rPr>
          <w:sz w:val="22"/>
        </w:rPr>
        <w:t>The Data Science POV validates the ML lifecycle automation capabilities, demonstrating how Mastech Digital’s autonomous approach achieves 60–80% effort reduction in model development and enables 3x more models deployed to production.</w:t>
      </w:r>
    </w:p>
    <w:p>
      <w:pPr>
        <w:pStyle w:val="ListParagraph"/>
        <w:numPr>
          <w:ilvl w:val="0"/>
          <w:numId w:val="1"/>
        </w:numPr>
      </w:pPr>
      <w:r>
        <w:rPr>
          <w:b/>
          <w:sz w:val="22"/>
        </w:rPr>
        <w:t xml:space="preserve">ML Model Development Automation: </w:t>
      </w:r>
      <w:r>
        <w:rPr>
          <w:sz w:val="22"/>
        </w:rPr>
        <w:t>Automate 2–3 complete ML model development cycles using Snowflake Cortex ML, feature engineering automation, and hyperparameter optimization to demonstrate effort reduction.</w:t>
      </w:r>
    </w:p>
    <w:p>
      <w:pPr>
        <w:pStyle w:val="ListParagraph"/>
        <w:numPr>
          <w:ilvl w:val="0"/>
          <w:numId w:val="1"/>
        </w:numPr>
      </w:pPr>
      <w:r>
        <w:rPr>
          <w:b/>
          <w:sz w:val="22"/>
        </w:rPr>
        <w:t xml:space="preserve">MLOps Integration: </w:t>
      </w:r>
      <w:r>
        <w:rPr>
          <w:sz w:val="22"/>
        </w:rPr>
        <w:t>Demonstrate end-to-end MLOps capabilities including model versioning via Snowflake ML, automated testing, staged deployment (dev/staging/production), and rollback procedures.</w:t>
      </w:r>
    </w:p>
    <w:p>
      <w:pPr>
        <w:pStyle w:val="ListParagraph"/>
        <w:numPr>
          <w:ilvl w:val="0"/>
          <w:numId w:val="1"/>
        </w:numPr>
      </w:pPr>
      <w:r>
        <w:rPr>
          <w:b/>
          <w:sz w:val="22"/>
        </w:rPr>
        <w:t xml:space="preserve">Model Registry &amp; Governance: </w:t>
      </w:r>
      <w:r>
        <w:rPr>
          <w:sz w:val="22"/>
        </w:rPr>
        <w:t>Implement the Snowflake Horizon model registry with approval workflows, lineage tracking, and compliance documentation to validate enterprise governance requirements.</w:t>
      </w:r>
    </w:p>
    <w:p>
      <w:pPr>
        <w:pStyle w:val="ListParagraph"/>
        <w:numPr>
          <w:ilvl w:val="0"/>
          <w:numId w:val="1"/>
        </w:numPr>
      </w:pPr>
      <w:r>
        <w:rPr>
          <w:b/>
          <w:sz w:val="22"/>
        </w:rPr>
        <w:t xml:space="preserve">Performance Monitoring: </w:t>
      </w:r>
      <w:r>
        <w:rPr>
          <w:sz w:val="22"/>
        </w:rPr>
        <w:t>Deploy model monitoring for data drift detection, prediction quality tracking, and automated retraining triggers to demonstrate production-grade ML operations.</w:t>
      </w:r>
    </w:p>
    <w:p>
      <w:pPr>
        <w:pStyle w:val="Heading2"/>
      </w:pPr>
      <w:r>
        <w:rPr>
          <w:color w:val="0F4761"/>
          <w:sz w:val="32"/>
        </w:rPr>
        <w:t>3.5 Platform Operations POV</w:t>
      </w:r>
    </w:p>
    <w:p>
      <w:r>
        <w:rPr>
          <w:sz w:val="22"/>
        </w:rPr>
        <w:t>The Platform Operations POV validates the 8-dimensional operational framework, demonstrating how autonomous monitoring and optimization achieves 70% operational efficiency improvement, 25–45% cost reduction, and 99.9% SLA compliance.</w:t>
      </w:r>
    </w:p>
    <w:p>
      <w:pPr>
        <w:pStyle w:val="ListParagraph"/>
        <w:numPr>
          <w:ilvl w:val="0"/>
          <w:numId w:val="1"/>
        </w:numPr>
      </w:pPr>
      <w:r>
        <w:rPr>
          <w:b/>
          <w:sz w:val="22"/>
        </w:rPr>
        <w:t xml:space="preserve">Monitoring Framework Deployment: </w:t>
      </w:r>
      <w:r>
        <w:rPr>
          <w:sz w:val="22"/>
        </w:rPr>
        <w:t>Deploy comprehensive monitoring across sample workloads covering compute utilization, job performance, cost tracking, security events, and SLA compliance metrics.</w:t>
      </w:r>
    </w:p>
    <w:p>
      <w:pPr>
        <w:pStyle w:val="ListParagraph"/>
        <w:numPr>
          <w:ilvl w:val="0"/>
          <w:numId w:val="1"/>
        </w:numPr>
      </w:pPr>
      <w:r>
        <w:rPr>
          <w:b/>
          <w:sz w:val="22"/>
        </w:rPr>
        <w:t xml:space="preserve">Autonomous Optimization Demonstration: </w:t>
      </w:r>
      <w:r>
        <w:rPr>
          <w:sz w:val="22"/>
        </w:rPr>
        <w:t>Implement the OODA (Observe-Orient-Decide-Act) loop for automated warehouse right-sizing, workload scheduling optimization, and cost anomaly remediation.</w:t>
      </w:r>
    </w:p>
    <w:p>
      <w:pPr>
        <w:pStyle w:val="ListParagraph"/>
        <w:numPr>
          <w:ilvl w:val="0"/>
          <w:numId w:val="1"/>
        </w:numPr>
      </w:pPr>
      <w:r>
        <w:rPr>
          <w:b/>
          <w:sz w:val="22"/>
        </w:rPr>
        <w:t xml:space="preserve">Cost Management Validation: </w:t>
      </w:r>
      <w:r>
        <w:rPr>
          <w:sz w:val="22"/>
        </w:rPr>
        <w:t>Demonstrate real-time cost attribution, chargeback reporting, and automated budget alerting to validate the 25–45% cost reduction projection.</w:t>
      </w:r>
    </w:p>
    <w:p>
      <w:pPr>
        <w:pStyle w:val="ListParagraph"/>
        <w:numPr>
          <w:ilvl w:val="0"/>
          <w:numId w:val="1"/>
        </w:numPr>
      </w:pPr>
      <w:r>
        <w:rPr>
          <w:b/>
          <w:sz w:val="22"/>
        </w:rPr>
        <w:t xml:space="preserve">SLA Compliance Tracking: </w:t>
      </w:r>
      <w:r>
        <w:rPr>
          <w:sz w:val="22"/>
        </w:rPr>
        <w:t>Establish SLA dashboards with automated alerting and escalation workflows to demonstrate the 99.9% SLA achievement capability across managed workloads.</w:t>
      </w:r>
    </w:p>
    <w:p>
      <w:pPr>
        <w:pStyle w:val="Heading1"/>
      </w:pPr>
      <w:r>
        <w:rPr>
          <w:color w:val="0F4761"/>
          <w:sz w:val="40"/>
        </w:rPr>
        <w:t>4. Success Criteria &amp; Go/No-Go Gates</w:t>
      </w:r>
    </w:p>
    <w:p>
      <w:r>
        <w:rPr>
          <w:sz w:val="22"/>
        </w:rPr>
        <w:t>Each POV phase concludes with a formal go/no-go gate where Mastech Digital and the client jointly evaluate progress against pre-defined success criteria. These gates ensure that the POV remains on track, surfaces issues early, and produces actionable conclusions. All success criteria are quantified and measurable, eliminating subjective interpretation from the evaluation process.</w:t>
      </w:r>
    </w:p>
    <w:p>
      <w:r>
        <w:rPr>
          <w:sz w:val="22"/>
        </w:rPr>
        <w:t>The success criteria framework operates at two levels: threshold criteria (minimum requirements that must be met for the POV to be considered successful) and target criteria (aspirational outcomes that demonstrate the full potential of the solution). This dual-tier approach provides flexibility while maintaining rigor.</w:t>
      </w:r>
    </w:p>
    <w:p>
      <w:pPr>
        <w:pStyle w:val="Heading2"/>
      </w:pPr>
      <w:r>
        <w:rPr>
          <w:color w:val="0F4761"/>
          <w:sz w:val="32"/>
        </w:rPr>
        <w:t>4.1 Technical Validation Gate</w:t>
      </w:r>
    </w:p>
    <w:p>
      <w:pPr>
        <w:pStyle w:val="ListParagraph"/>
        <w:numPr>
          <w:ilvl w:val="0"/>
          <w:numId w:val="1"/>
        </w:numPr>
      </w:pPr>
      <w:r>
        <w:rPr>
          <w:b/>
          <w:sz w:val="22"/>
        </w:rPr>
        <w:t xml:space="preserve">Environment Readiness: </w:t>
      </w:r>
      <w:r>
        <w:rPr>
          <w:sz w:val="22"/>
        </w:rPr>
        <w:t>Snowflake workspace provisioned, network connectivity established, security configurations validated, and all required integrations operational within the first two weeks.</w:t>
      </w:r>
    </w:p>
    <w:p>
      <w:pPr>
        <w:pStyle w:val="ListParagraph"/>
        <w:numPr>
          <w:ilvl w:val="0"/>
          <w:numId w:val="1"/>
        </w:numPr>
      </w:pPr>
      <w:r>
        <w:rPr>
          <w:b/>
          <w:sz w:val="22"/>
        </w:rPr>
        <w:t xml:space="preserve">Functional Completeness: </w:t>
      </w:r>
      <w:r>
        <w:rPr>
          <w:sz w:val="22"/>
        </w:rPr>
        <w:t>All in-scope workloads, pipelines, or models deployed and executing successfully with no critical defects. Threshold: 90% of acceptance criteria met. Target: 100%.</w:t>
      </w:r>
    </w:p>
    <w:p>
      <w:pPr>
        <w:pStyle w:val="ListParagraph"/>
        <w:numPr>
          <w:ilvl w:val="0"/>
          <w:numId w:val="1"/>
        </w:numPr>
      </w:pPr>
      <w:r>
        <w:rPr>
          <w:b/>
          <w:sz w:val="22"/>
        </w:rPr>
        <w:t xml:space="preserve">Data Quality Compliance: </w:t>
      </w:r>
      <w:r>
        <w:rPr>
          <w:sz w:val="22"/>
        </w:rPr>
        <w:t>Migrated or processed data meets defined quality thresholds including completeness, accuracy, and consistency. Threshold: 95% quality score. Target: 99%.</w:t>
      </w:r>
    </w:p>
    <w:p>
      <w:pPr>
        <w:pStyle w:val="Heading2"/>
      </w:pPr>
      <w:r>
        <w:rPr>
          <w:color w:val="0F4761"/>
          <w:sz w:val="32"/>
        </w:rPr>
        <w:t>4.2 Performance Benchmark Gate</w:t>
      </w:r>
    </w:p>
    <w:p>
      <w:pPr>
        <w:pStyle w:val="ListParagraph"/>
        <w:numPr>
          <w:ilvl w:val="0"/>
          <w:numId w:val="1"/>
        </w:numPr>
      </w:pPr>
      <w:r>
        <w:rPr>
          <w:b/>
          <w:sz w:val="22"/>
        </w:rPr>
        <w:t xml:space="preserve">Processing Performance: </w:t>
      </w:r>
      <w:r>
        <w:rPr>
          <w:sz w:val="22"/>
        </w:rPr>
        <w:t>Workload execution times meet or exceed baseline comparisons. Threshold: on par with legacy. Target: 50–70% improvement (Platform Modernization) or equivalent per offering.</w:t>
      </w:r>
    </w:p>
    <w:p>
      <w:pPr>
        <w:pStyle w:val="ListParagraph"/>
        <w:numPr>
          <w:ilvl w:val="0"/>
          <w:numId w:val="1"/>
        </w:numPr>
      </w:pPr>
      <w:r>
        <w:rPr>
          <w:b/>
          <w:sz w:val="22"/>
        </w:rPr>
        <w:t xml:space="preserve">Scalability Validation: </w:t>
      </w:r>
      <w:r>
        <w:rPr>
          <w:sz w:val="22"/>
        </w:rPr>
        <w:t>System demonstrates linear or near-linear scalability under 2x and 5x data volume increases without degradation beyond acceptable thresholds.</w:t>
      </w:r>
    </w:p>
    <w:p>
      <w:pPr>
        <w:pStyle w:val="ListParagraph"/>
        <w:numPr>
          <w:ilvl w:val="0"/>
          <w:numId w:val="1"/>
        </w:numPr>
      </w:pPr>
      <w:r>
        <w:rPr>
          <w:b/>
          <w:sz w:val="22"/>
        </w:rPr>
        <w:t xml:space="preserve">Reliability Assessment: </w:t>
      </w:r>
      <w:r>
        <w:rPr>
          <w:sz w:val="22"/>
        </w:rPr>
        <w:t>Zero data loss events, no unplanned downtime, and successful recovery from simulated failure scenarios during the execution phase.</w:t>
      </w:r>
    </w:p>
    <w:p>
      <w:pPr>
        <w:pStyle w:val="Heading2"/>
      </w:pPr>
      <w:r>
        <w:rPr>
          <w:color w:val="0F4761"/>
          <w:sz w:val="32"/>
        </w:rPr>
        <w:t>4.3 Business Value Gate</w:t>
      </w:r>
    </w:p>
    <w:p>
      <w:pPr>
        <w:pStyle w:val="ListParagraph"/>
        <w:numPr>
          <w:ilvl w:val="0"/>
          <w:numId w:val="1"/>
        </w:numPr>
      </w:pPr>
      <w:r>
        <w:rPr>
          <w:b/>
          <w:sz w:val="22"/>
        </w:rPr>
        <w:t xml:space="preserve">TCO Projection Validation: </w:t>
      </w:r>
      <w:r>
        <w:rPr>
          <w:sz w:val="22"/>
        </w:rPr>
        <w:t>Financial model confirms projected cost savings based on observed resource consumption, automation rates, and effort reduction during the POV.</w:t>
      </w:r>
    </w:p>
    <w:p>
      <w:pPr>
        <w:pStyle w:val="ListParagraph"/>
        <w:numPr>
          <w:ilvl w:val="0"/>
          <w:numId w:val="1"/>
        </w:numPr>
      </w:pPr>
      <w:r>
        <w:rPr>
          <w:b/>
          <w:sz w:val="22"/>
        </w:rPr>
        <w:t xml:space="preserve">Effort Reduction Measurement: </w:t>
      </w:r>
      <w:r>
        <w:rPr>
          <w:sz w:val="22"/>
        </w:rPr>
        <w:t>Documented comparison of effort required for POV tasks using the proposed solution versus estimated effort using current-state tools and processes.</w:t>
      </w:r>
    </w:p>
    <w:p>
      <w:pPr>
        <w:pStyle w:val="ListParagraph"/>
        <w:numPr>
          <w:ilvl w:val="0"/>
          <w:numId w:val="1"/>
        </w:numPr>
      </w:pPr>
      <w:r>
        <w:rPr>
          <w:b/>
          <w:sz w:val="22"/>
        </w:rPr>
        <w:t xml:space="preserve">Stakeholder Approval: </w:t>
      </w:r>
      <w:r>
        <w:rPr>
          <w:sz w:val="22"/>
        </w:rPr>
        <w:t>Executive sponsor and technical evaluators provide formal sign-off on POV outcomes and recommendation to proceed with full implementation.</w:t>
      </w:r>
    </w:p>
    <w:p>
      <w:pPr>
        <w:pStyle w:val="Heading1"/>
      </w:pPr>
      <w:r>
        <w:rPr>
          <w:color w:val="0F4761"/>
          <w:sz w:val="40"/>
        </w:rPr>
        <w:t>5. POV Timeline</w:t>
      </w:r>
    </w:p>
    <w:p>
      <w:r>
        <w:rPr>
          <w:sz w:val="22"/>
        </w:rPr>
        <w:t>The standard POV engagement follows a 4–6 week phased approach designed to balance thoroughness with urgency. Each phase has defined entry and exit criteria, ensuring predictable progress and clear accountability. The timeline can be compressed or extended based on scope complexity and client availability.</w:t>
      </w:r>
    </w:p>
    <w:p>
      <w:pPr>
        <w:pStyle w:val="Heading2"/>
      </w:pPr>
      <w:r>
        <w:rPr>
          <w:color w:val="0F4761"/>
          <w:sz w:val="32"/>
        </w:rPr>
        <w:t>5.1 Week 1–2: Setup &amp; Configuration</w:t>
      </w:r>
    </w:p>
    <w:p>
      <w:pPr>
        <w:pStyle w:val="ListParagraph"/>
        <w:numPr>
          <w:ilvl w:val="0"/>
          <w:numId w:val="1"/>
        </w:numPr>
      </w:pPr>
      <w:r>
        <w:rPr>
          <w:b/>
          <w:sz w:val="22"/>
        </w:rPr>
        <w:t xml:space="preserve">Environment Provisioning: </w:t>
      </w:r>
      <w:r>
        <w:rPr>
          <w:sz w:val="22"/>
        </w:rPr>
        <w:t>Deploy Snowflake workspace, configure networking, establish identity integration, and validate security posture against client requirements.</w:t>
      </w:r>
    </w:p>
    <w:p>
      <w:pPr>
        <w:pStyle w:val="ListParagraph"/>
        <w:numPr>
          <w:ilvl w:val="0"/>
          <w:numId w:val="1"/>
        </w:numPr>
      </w:pPr>
      <w:r>
        <w:rPr>
          <w:b/>
          <w:sz w:val="22"/>
        </w:rPr>
        <w:t xml:space="preserve">Data Preparation: </w:t>
      </w:r>
      <w:r>
        <w:rPr>
          <w:sz w:val="22"/>
        </w:rPr>
        <w:t>Identify, extract, and stage representative data sets for POV execution. Establish baseline measurements for comparison.</w:t>
      </w:r>
    </w:p>
    <w:p>
      <w:pPr>
        <w:pStyle w:val="ListParagraph"/>
        <w:numPr>
          <w:ilvl w:val="0"/>
          <w:numId w:val="1"/>
        </w:numPr>
      </w:pPr>
      <w:r>
        <w:rPr>
          <w:b/>
          <w:sz w:val="22"/>
        </w:rPr>
        <w:t xml:space="preserve">Scope Finalization: </w:t>
      </w:r>
      <w:r>
        <w:rPr>
          <w:sz w:val="22"/>
        </w:rPr>
        <w:t>Confirm detailed scope, success criteria, and resource assignments with all stakeholders. Document assumptions and constraints.</w:t>
      </w:r>
    </w:p>
    <w:p>
      <w:pPr>
        <w:pStyle w:val="ListParagraph"/>
        <w:numPr>
          <w:ilvl w:val="0"/>
          <w:numId w:val="1"/>
        </w:numPr>
      </w:pPr>
      <w:r>
        <w:rPr>
          <w:b/>
          <w:sz w:val="22"/>
        </w:rPr>
        <w:t xml:space="preserve">Kickoff &amp; Alignment: </w:t>
      </w:r>
      <w:r>
        <w:rPr>
          <w:sz w:val="22"/>
        </w:rPr>
        <w:t>Conduct formal kickoff with project team and stakeholders. Establish communication cadence including daily standups and weekly status reviews.</w:t>
      </w:r>
    </w:p>
    <w:p>
      <w:pPr>
        <w:pStyle w:val="Heading2"/>
      </w:pPr>
      <w:r>
        <w:rPr>
          <w:color w:val="0F4761"/>
          <w:sz w:val="32"/>
        </w:rPr>
        <w:t>5.2 Week 2–4: Execution &amp; Development</w:t>
      </w:r>
    </w:p>
    <w:p>
      <w:pPr>
        <w:pStyle w:val="ListParagraph"/>
        <w:numPr>
          <w:ilvl w:val="0"/>
          <w:numId w:val="1"/>
        </w:numPr>
      </w:pPr>
      <w:r>
        <w:rPr>
          <w:b/>
          <w:sz w:val="22"/>
        </w:rPr>
        <w:t xml:space="preserve">Core Implementation: </w:t>
      </w:r>
      <w:r>
        <w:rPr>
          <w:sz w:val="22"/>
        </w:rPr>
        <w:t>Execute the primary POV workstreams per the offering-specific scope defined in Section 3. This phase consumes the majority of the technical effort.</w:t>
      </w:r>
    </w:p>
    <w:p>
      <w:pPr>
        <w:pStyle w:val="ListParagraph"/>
        <w:numPr>
          <w:ilvl w:val="0"/>
          <w:numId w:val="1"/>
        </w:numPr>
      </w:pPr>
      <w:r>
        <w:rPr>
          <w:b/>
          <w:sz w:val="22"/>
        </w:rPr>
        <w:t xml:space="preserve">Iterative Demonstration: </w:t>
      </w:r>
      <w:r>
        <w:rPr>
          <w:sz w:val="22"/>
        </w:rPr>
        <w:t>Conduct mid-point demonstrations to stakeholders showing progress and preliminary results. Incorporate feedback and adjust approach as needed.</w:t>
      </w:r>
    </w:p>
    <w:p>
      <w:pPr>
        <w:pStyle w:val="ListParagraph"/>
        <w:numPr>
          <w:ilvl w:val="0"/>
          <w:numId w:val="1"/>
        </w:numPr>
      </w:pPr>
      <w:r>
        <w:rPr>
          <w:b/>
          <w:sz w:val="22"/>
        </w:rPr>
        <w:t xml:space="preserve">Performance Testing: </w:t>
      </w:r>
      <w:r>
        <w:rPr>
          <w:sz w:val="22"/>
        </w:rPr>
        <w:t>Execute benchmark tests, load tests, and scalability validations against defined success criteria.</w:t>
      </w:r>
    </w:p>
    <w:p>
      <w:pPr>
        <w:pStyle w:val="ListParagraph"/>
        <w:numPr>
          <w:ilvl w:val="0"/>
          <w:numId w:val="1"/>
        </w:numPr>
      </w:pPr>
      <w:r>
        <w:rPr>
          <w:b/>
          <w:sz w:val="22"/>
        </w:rPr>
        <w:t xml:space="preserve">Issue Resolution: </w:t>
      </w:r>
      <w:r>
        <w:rPr>
          <w:sz w:val="22"/>
        </w:rPr>
        <w:t>Track and resolve technical issues through a structured defect management process with daily triage and prioritization.</w:t>
      </w:r>
    </w:p>
    <w:p>
      <w:pPr>
        <w:pStyle w:val="Heading2"/>
      </w:pPr>
      <w:r>
        <w:rPr>
          <w:color w:val="0F4761"/>
          <w:sz w:val="32"/>
        </w:rPr>
        <w:t>5.3 Week 4–5: Validation &amp; Analysis</w:t>
      </w:r>
    </w:p>
    <w:p>
      <w:pPr>
        <w:pStyle w:val="ListParagraph"/>
        <w:numPr>
          <w:ilvl w:val="0"/>
          <w:numId w:val="1"/>
        </w:numPr>
      </w:pPr>
      <w:r>
        <w:rPr>
          <w:b/>
          <w:sz w:val="22"/>
        </w:rPr>
        <w:t xml:space="preserve">Results Compilation: </w:t>
      </w:r>
      <w:r>
        <w:rPr>
          <w:sz w:val="22"/>
        </w:rPr>
        <w:t>Aggregate all performance metrics, quality scores, and functional test results into a structured validation report.</w:t>
      </w:r>
    </w:p>
    <w:p>
      <w:pPr>
        <w:pStyle w:val="ListParagraph"/>
        <w:numPr>
          <w:ilvl w:val="0"/>
          <w:numId w:val="1"/>
        </w:numPr>
      </w:pPr>
      <w:r>
        <w:rPr>
          <w:b/>
          <w:sz w:val="22"/>
        </w:rPr>
        <w:t xml:space="preserve">Business Case Refinement: </w:t>
      </w:r>
      <w:r>
        <w:rPr>
          <w:sz w:val="22"/>
        </w:rPr>
        <w:t>Update the financial model with observed data from the POV execution, replacing estimates with actuals for TCO, effort reduction, and timeline projections.</w:t>
      </w:r>
    </w:p>
    <w:p>
      <w:pPr>
        <w:pStyle w:val="ListParagraph"/>
        <w:numPr>
          <w:ilvl w:val="0"/>
          <w:numId w:val="1"/>
        </w:numPr>
      </w:pPr>
      <w:r>
        <w:rPr>
          <w:b/>
          <w:sz w:val="22"/>
        </w:rPr>
        <w:t xml:space="preserve">Gap Analysis: </w:t>
      </w:r>
      <w:r>
        <w:rPr>
          <w:sz w:val="22"/>
        </w:rPr>
        <w:t>Document any gaps between POV scope and full production requirements, with mitigation plans and effort estimates for each gap.</w:t>
      </w:r>
    </w:p>
    <w:p>
      <w:pPr>
        <w:pStyle w:val="Heading2"/>
      </w:pPr>
      <w:r>
        <w:rPr>
          <w:color w:val="0F4761"/>
          <w:sz w:val="32"/>
        </w:rPr>
        <w:t>5.4 Week 5–6: Readout &amp; Decision</w:t>
      </w:r>
    </w:p>
    <w:p>
      <w:pPr>
        <w:pStyle w:val="ListParagraph"/>
        <w:numPr>
          <w:ilvl w:val="0"/>
          <w:numId w:val="1"/>
        </w:numPr>
      </w:pPr>
      <w:r>
        <w:rPr>
          <w:b/>
          <w:sz w:val="22"/>
        </w:rPr>
        <w:t xml:space="preserve">Executive Readout Preparation: </w:t>
      </w:r>
      <w:r>
        <w:rPr>
          <w:sz w:val="22"/>
        </w:rPr>
        <w:t>Develop comprehensive presentation summarizing POV objectives, approach, results, and recommendations for executive sponsor review.</w:t>
      </w:r>
    </w:p>
    <w:p>
      <w:pPr>
        <w:pStyle w:val="ListParagraph"/>
        <w:numPr>
          <w:ilvl w:val="0"/>
          <w:numId w:val="1"/>
        </w:numPr>
      </w:pPr>
      <w:r>
        <w:rPr>
          <w:b/>
          <w:sz w:val="22"/>
        </w:rPr>
        <w:t xml:space="preserve">Stakeholder Readout Sessions: </w:t>
      </w:r>
      <w:r>
        <w:rPr>
          <w:sz w:val="22"/>
        </w:rPr>
        <w:t>Present findings to technical evaluators, business stakeholders, and executive sponsors in role-appropriate formats.</w:t>
      </w:r>
    </w:p>
    <w:p>
      <w:pPr>
        <w:pStyle w:val="ListParagraph"/>
        <w:numPr>
          <w:ilvl w:val="0"/>
          <w:numId w:val="1"/>
        </w:numPr>
      </w:pPr>
      <w:r>
        <w:rPr>
          <w:b/>
          <w:sz w:val="22"/>
        </w:rPr>
        <w:t xml:space="preserve">Go/No-Go Decision: </w:t>
      </w:r>
      <w:r>
        <w:rPr>
          <w:sz w:val="22"/>
        </w:rPr>
        <w:t>Facilitate formal decision meeting with the buying committee, presenting evidence-based recommendation and proposed implementation roadmap.</w:t>
      </w:r>
    </w:p>
    <w:p>
      <w:pPr>
        <w:pStyle w:val="ListParagraph"/>
        <w:numPr>
          <w:ilvl w:val="0"/>
          <w:numId w:val="1"/>
        </w:numPr>
      </w:pPr>
      <w:r>
        <w:rPr>
          <w:b/>
          <w:sz w:val="22"/>
        </w:rPr>
        <w:t xml:space="preserve">Transition Planning: </w:t>
      </w:r>
      <w:r>
        <w:rPr>
          <w:sz w:val="22"/>
        </w:rPr>
        <w:t>If approved, initiate transition planning including team scaling, contract finalization, and Phase 1 implementation kickoff scheduling.</w:t>
      </w:r>
    </w:p>
    <w:p>
      <w:pPr>
        <w:pStyle w:val="Heading1"/>
      </w:pPr>
      <w:r>
        <w:rPr>
          <w:color w:val="0F4761"/>
          <w:sz w:val="40"/>
        </w:rPr>
        <w:t>6. Resource Requirements</w:t>
      </w:r>
    </w:p>
    <w:p>
      <w:r>
        <w:rPr>
          <w:sz w:val="22"/>
        </w:rPr>
        <w:t>A successful POV requires coordinated commitment from three parties: the Mastech Digital delivery team, the client organization, and the Snowflake platform. The following resource framework ensures that all parties understand their commitments and can plan accordingly. Resource availability is a critical success factor and should be confirmed during scope finalization.</w:t>
      </w:r>
    </w:p>
    <w:p>
      <w:pPr>
        <w:pStyle w:val="Heading2"/>
      </w:pPr>
      <w:r>
        <w:rPr>
          <w:color w:val="0F4761"/>
          <w:sz w:val="32"/>
        </w:rPr>
        <w:t>6.1 Mastech Digital Team</w:t>
      </w:r>
    </w:p>
    <w:p>
      <w:pPr>
        <w:pStyle w:val="ListParagraph"/>
        <w:numPr>
          <w:ilvl w:val="0"/>
          <w:numId w:val="1"/>
        </w:numPr>
      </w:pPr>
      <w:r>
        <w:rPr>
          <w:b/>
          <w:sz w:val="22"/>
        </w:rPr>
        <w:t xml:space="preserve">Solution Architect (50–100%): </w:t>
      </w:r>
      <w:r>
        <w:rPr>
          <w:sz w:val="22"/>
        </w:rPr>
        <w:t>Leads technical design, architecture decisions, and integration planning. Serves as the primary technical point of contact for the client’s technical evaluators.</w:t>
      </w:r>
    </w:p>
    <w:p>
      <w:pPr>
        <w:pStyle w:val="ListParagraph"/>
        <w:numPr>
          <w:ilvl w:val="0"/>
          <w:numId w:val="1"/>
        </w:numPr>
      </w:pPr>
      <w:r>
        <w:rPr>
          <w:b/>
          <w:sz w:val="22"/>
        </w:rPr>
        <w:t xml:space="preserve">Data Engineers (2–3 FTE, 100%): </w:t>
      </w:r>
      <w:r>
        <w:rPr>
          <w:sz w:val="22"/>
        </w:rPr>
        <w:t>Execute core implementation workstreams including migration, pipeline development, analytics deployment, or ML automation based on the specific offering.</w:t>
      </w:r>
    </w:p>
    <w:p>
      <w:pPr>
        <w:pStyle w:val="ListParagraph"/>
        <w:numPr>
          <w:ilvl w:val="0"/>
          <w:numId w:val="1"/>
        </w:numPr>
      </w:pPr>
      <w:r>
        <w:rPr>
          <w:b/>
          <w:sz w:val="22"/>
        </w:rPr>
        <w:t xml:space="preserve">Project Manager (25–50%): </w:t>
      </w:r>
      <w:r>
        <w:rPr>
          <w:sz w:val="22"/>
        </w:rPr>
        <w:t>Manages POV execution, stakeholder communication, issue tracking, and milestone reporting. Ensures timeline adherence and scope management.</w:t>
      </w:r>
    </w:p>
    <w:p>
      <w:pPr>
        <w:pStyle w:val="ListParagraph"/>
        <w:numPr>
          <w:ilvl w:val="0"/>
          <w:numId w:val="1"/>
        </w:numPr>
      </w:pPr>
      <w:r>
        <w:rPr>
          <w:b/>
          <w:sz w:val="22"/>
        </w:rPr>
        <w:t xml:space="preserve">Engagement Lead (10–25%): </w:t>
      </w:r>
      <w:r>
        <w:rPr>
          <w:sz w:val="22"/>
        </w:rPr>
        <w:t>Provides executive oversight, stakeholder relationship management, and commercial alignment. Participates in gate reviews and readout sessions.</w:t>
      </w:r>
    </w:p>
    <w:p>
      <w:pPr>
        <w:pStyle w:val="Heading2"/>
      </w:pPr>
      <w:r>
        <w:rPr>
          <w:color w:val="0F4761"/>
          <w:sz w:val="32"/>
        </w:rPr>
        <w:t>6.2 Client Team</w:t>
      </w:r>
    </w:p>
    <w:p>
      <w:pPr>
        <w:pStyle w:val="ListParagraph"/>
        <w:numPr>
          <w:ilvl w:val="0"/>
          <w:numId w:val="1"/>
        </w:numPr>
      </w:pPr>
      <w:r>
        <w:rPr>
          <w:b/>
          <w:sz w:val="22"/>
        </w:rPr>
        <w:t xml:space="preserve">Technical Sponsor (10–25%): </w:t>
      </w:r>
      <w:r>
        <w:rPr>
          <w:sz w:val="22"/>
        </w:rPr>
        <w:t>VP/Director-level stakeholder who provides technical direction, removes blockers, and validates architectural decisions against enterprise standards.</w:t>
      </w:r>
    </w:p>
    <w:p>
      <w:pPr>
        <w:pStyle w:val="ListParagraph"/>
        <w:numPr>
          <w:ilvl w:val="0"/>
          <w:numId w:val="1"/>
        </w:numPr>
      </w:pPr>
      <w:r>
        <w:rPr>
          <w:b/>
          <w:sz w:val="22"/>
        </w:rPr>
        <w:t xml:space="preserve">Subject Matter Experts (25–50%): </w:t>
      </w:r>
      <w:r>
        <w:rPr>
          <w:sz w:val="22"/>
        </w:rPr>
        <w:t>Business and technical SMEs who provide domain knowledge, data context, and acceptance criteria validation throughout the POV execution.</w:t>
      </w:r>
    </w:p>
    <w:p>
      <w:pPr>
        <w:pStyle w:val="ListParagraph"/>
        <w:numPr>
          <w:ilvl w:val="0"/>
          <w:numId w:val="1"/>
        </w:numPr>
      </w:pPr>
      <w:r>
        <w:rPr>
          <w:b/>
          <w:sz w:val="22"/>
        </w:rPr>
        <w:t xml:space="preserve">IT/Platform Support (as needed): </w:t>
      </w:r>
      <w:r>
        <w:rPr>
          <w:sz w:val="22"/>
        </w:rPr>
        <w:t>Infrastructure, security, and networking support for environment provisioning, access management, and compliance validation.</w:t>
      </w:r>
    </w:p>
    <w:p>
      <w:pPr>
        <w:pStyle w:val="Heading2"/>
      </w:pPr>
      <w:r>
        <w:rPr>
          <w:color w:val="0F4761"/>
          <w:sz w:val="32"/>
        </w:rPr>
        <w:t>6.3 Snowflake Environment</w:t>
      </w:r>
    </w:p>
    <w:p>
      <w:pPr>
        <w:pStyle w:val="ListParagraph"/>
        <w:numPr>
          <w:ilvl w:val="0"/>
          <w:numId w:val="1"/>
        </w:numPr>
      </w:pPr>
      <w:r>
        <w:rPr>
          <w:b/>
          <w:sz w:val="22"/>
        </w:rPr>
        <w:t xml:space="preserve">Workspace &amp; Compute: </w:t>
      </w:r>
      <w:r>
        <w:rPr>
          <w:sz w:val="22"/>
        </w:rPr>
        <w:t>Dedicated Snowflake workspace with appropriate compute clusters sized for POV workloads. Recommend isolated environment to avoid interference with existing workloads.</w:t>
      </w:r>
    </w:p>
    <w:p>
      <w:pPr>
        <w:pStyle w:val="ListParagraph"/>
        <w:numPr>
          <w:ilvl w:val="0"/>
          <w:numId w:val="1"/>
        </w:numPr>
      </w:pPr>
      <w:r>
        <w:rPr>
          <w:b/>
          <w:sz w:val="22"/>
        </w:rPr>
        <w:t xml:space="preserve">Snowflake Horizon: </w:t>
      </w:r>
      <w:r>
        <w:rPr>
          <w:sz w:val="22"/>
        </w:rPr>
        <w:t>Configured Snowflake Horizon metastore with appropriate catalog and schema structure for POV data assets, models, and governance policies.</w:t>
      </w:r>
    </w:p>
    <w:p>
      <w:pPr>
        <w:pStyle w:val="ListParagraph"/>
        <w:numPr>
          <w:ilvl w:val="0"/>
          <w:numId w:val="1"/>
        </w:numPr>
      </w:pPr>
      <w:r>
        <w:rPr>
          <w:b/>
          <w:sz w:val="22"/>
        </w:rPr>
        <w:t xml:space="preserve">Snowflake Partner Support: </w:t>
      </w:r>
      <w:r>
        <w:rPr>
          <w:sz w:val="22"/>
        </w:rPr>
        <w:t>Access to Snowflake technical support and partner engineering resources for platform configuration questions and best-practice guidance.</w:t>
      </w:r>
    </w:p>
    <w:p>
      <w:pPr>
        <w:pStyle w:val="Heading1"/>
      </w:pPr>
      <w:r>
        <w:rPr>
          <w:color w:val="0F4761"/>
          <w:sz w:val="40"/>
        </w:rPr>
        <w:t>7. Expected POV Outcomes</w:t>
      </w:r>
    </w:p>
    <w:p>
      <w:r>
        <w:rPr>
          <w:sz w:val="22"/>
        </w:rPr>
        <w:t>The POV is designed to produce tangible, reusable assets that extend beyond the evaluation phase. Unlike a disposable proof-of-concept, the Mastech Digital POV generates production-grade artifacts that accelerate the subsequent full implementation, ensuring that the client’s investment in the POV compounds into long-term value.</w:t>
      </w:r>
    </w:p>
    <w:p>
      <w:r>
        <w:rPr>
          <w:sz w:val="22"/>
        </w:rPr>
        <w:t>Upon successful completion, the client organization walks away with a comprehensive evidence package that addresses every dimension of the investment decision. This package is structured to serve the needs of multiple stakeholder groups—from technical evaluators who need architecture validation to CFOs who need financial justification.</w:t>
      </w:r>
    </w:p>
    <w:p>
      <w:pPr>
        <w:pStyle w:val="ListParagraph"/>
        <w:numPr>
          <w:ilvl w:val="0"/>
          <w:numId w:val="1"/>
        </w:numPr>
      </w:pPr>
      <w:r>
        <w:rPr>
          <w:b/>
          <w:sz w:val="22"/>
        </w:rPr>
        <w:t xml:space="preserve">Working Prototype: </w:t>
      </w:r>
      <w:r>
        <w:rPr>
          <w:sz w:val="22"/>
        </w:rPr>
        <w:t>A functional, production-grade implementation of the in-scope workloads running on the Snowflake platform, ready to serve as the foundation for full-scale implementation.</w:t>
      </w:r>
    </w:p>
    <w:p>
      <w:pPr>
        <w:pStyle w:val="ListParagraph"/>
        <w:numPr>
          <w:ilvl w:val="0"/>
          <w:numId w:val="1"/>
        </w:numPr>
      </w:pPr>
      <w:r>
        <w:rPr>
          <w:b/>
          <w:sz w:val="22"/>
        </w:rPr>
        <w:t xml:space="preserve">Performance Benchmark Report: </w:t>
      </w:r>
      <w:r>
        <w:rPr>
          <w:sz w:val="22"/>
        </w:rPr>
        <w:t>Documented performance comparisons between legacy and Snowflake-based execution, including processing speed, resource utilization, and scalability metrics.</w:t>
      </w:r>
    </w:p>
    <w:p>
      <w:pPr>
        <w:pStyle w:val="ListParagraph"/>
        <w:numPr>
          <w:ilvl w:val="0"/>
          <w:numId w:val="1"/>
        </w:numPr>
      </w:pPr>
      <w:r>
        <w:rPr>
          <w:b/>
          <w:sz w:val="22"/>
        </w:rPr>
        <w:t xml:space="preserve">Validated Business Case: </w:t>
      </w:r>
      <w:r>
        <w:rPr>
          <w:sz w:val="22"/>
        </w:rPr>
        <w:t>Updated financial model with POV-derived actuals replacing estimates, providing a credible basis for executive investment approval.</w:t>
      </w:r>
    </w:p>
    <w:p>
      <w:pPr>
        <w:pStyle w:val="ListParagraph"/>
        <w:numPr>
          <w:ilvl w:val="0"/>
          <w:numId w:val="1"/>
        </w:numPr>
      </w:pPr>
      <w:r>
        <w:rPr>
          <w:b/>
          <w:sz w:val="22"/>
        </w:rPr>
        <w:t xml:space="preserve">Architecture Blueprint: </w:t>
      </w:r>
      <w:r>
        <w:rPr>
          <w:sz w:val="22"/>
        </w:rPr>
        <w:t>Documented target-state architecture validated through POV execution, including component topology, integration patterns, security configuration, and scalability design.</w:t>
      </w:r>
    </w:p>
    <w:p>
      <w:pPr>
        <w:pStyle w:val="ListParagraph"/>
        <w:numPr>
          <w:ilvl w:val="0"/>
          <w:numId w:val="1"/>
        </w:numPr>
      </w:pPr>
      <w:r>
        <w:rPr>
          <w:b/>
          <w:sz w:val="22"/>
        </w:rPr>
        <w:t xml:space="preserve">Risk Assessment &amp; Mitigation Plan: </w:t>
      </w:r>
      <w:r>
        <w:rPr>
          <w:sz w:val="22"/>
        </w:rPr>
        <w:t>Comprehensive risk register with observed risks, probability assessments, impact ratings, and specific mitigation strategies for each identified risk.</w:t>
      </w:r>
    </w:p>
    <w:p>
      <w:pPr>
        <w:pStyle w:val="ListParagraph"/>
        <w:numPr>
          <w:ilvl w:val="0"/>
          <w:numId w:val="1"/>
        </w:numPr>
      </w:pPr>
      <w:r>
        <w:rPr>
          <w:b/>
          <w:sz w:val="22"/>
        </w:rPr>
        <w:t xml:space="preserve">Implementation Roadmap: </w:t>
      </w:r>
      <w:r>
        <w:rPr>
          <w:sz w:val="22"/>
        </w:rPr>
        <w:t>Detailed phased implementation plan for full-scale deployment, informed by POV learnings including realistic timelines, resource requirements, and dependency mapping.</w:t>
      </w:r>
    </w:p>
    <w:p>
      <w:pPr>
        <w:pStyle w:val="Heading1"/>
      </w:pPr>
      <w:r>
        <w:rPr>
          <w:color w:val="0F4761"/>
          <w:sz w:val="40"/>
        </w:rPr>
        <w:t>8. Next Steps Post-POV</w:t>
      </w:r>
    </w:p>
    <w:p>
      <w:r>
        <w:rPr>
          <w:sz w:val="22"/>
        </w:rPr>
        <w:t>The transition from POV to full implementation is a critical juncture that requires deliberate planning and stakeholder alignment. Mastech Digital’s structured transition methodology ensures continuity of momentum, knowledge transfer, and team scaling to meet the demands of full-scale delivery.</w:t>
      </w:r>
    </w:p>
    <w:p>
      <w:r>
        <w:rPr>
          <w:sz w:val="22"/>
        </w:rPr>
        <w:t>The post-POV phase typically spans 2–4 weeks and runs in parallel with commercial negotiations, enabling the implementation to begin immediately upon contract execution. This parallel-path approach can compress the overall timeline by 3–6 weeks compared to sequential procurement and planning.</w:t>
      </w:r>
    </w:p>
    <w:p>
      <w:pPr>
        <w:pStyle w:val="ListParagraph"/>
        <w:numPr>
          <w:ilvl w:val="0"/>
          <w:numId w:val="1"/>
        </w:numPr>
      </w:pPr>
      <w:r>
        <w:rPr>
          <w:b/>
          <w:sz w:val="22"/>
        </w:rPr>
        <w:t xml:space="preserve">Executive Decision Meeting: </w:t>
      </w:r>
      <w:r>
        <w:rPr>
          <w:sz w:val="22"/>
        </w:rPr>
        <w:t>Formal presentation of POV results to the full buying committee with evidence-based recommendation for full implementation. Include ROI projections validated by POV data.</w:t>
      </w:r>
    </w:p>
    <w:p>
      <w:pPr>
        <w:pStyle w:val="ListParagraph"/>
        <w:numPr>
          <w:ilvl w:val="0"/>
          <w:numId w:val="1"/>
        </w:numPr>
      </w:pPr>
      <w:r>
        <w:rPr>
          <w:b/>
          <w:sz w:val="22"/>
        </w:rPr>
        <w:t xml:space="preserve">Statement of Work Development: </w:t>
      </w:r>
      <w:r>
        <w:rPr>
          <w:sz w:val="22"/>
        </w:rPr>
        <w:t>Detailed SOW based on POV learnings, including refined scope, timeline, resource plan, pricing, and governance framework for the full implementation engagement.</w:t>
      </w:r>
    </w:p>
    <w:p>
      <w:pPr>
        <w:pStyle w:val="ListParagraph"/>
        <w:numPr>
          <w:ilvl w:val="0"/>
          <w:numId w:val="1"/>
        </w:numPr>
      </w:pPr>
      <w:r>
        <w:rPr>
          <w:b/>
          <w:sz w:val="22"/>
        </w:rPr>
        <w:t xml:space="preserve">Team Scaling &amp; Onboarding: </w:t>
      </w:r>
      <w:r>
        <w:rPr>
          <w:sz w:val="22"/>
        </w:rPr>
        <w:t>Ramp additional Mastech Digital resources while retaining POV team members to ensure knowledge continuity. Conduct client team training and enablement sessions.</w:t>
      </w:r>
    </w:p>
    <w:p>
      <w:pPr>
        <w:pStyle w:val="ListParagraph"/>
        <w:numPr>
          <w:ilvl w:val="0"/>
          <w:numId w:val="1"/>
        </w:numPr>
      </w:pPr>
      <w:r>
        <w:rPr>
          <w:b/>
          <w:sz w:val="22"/>
        </w:rPr>
        <w:t xml:space="preserve">Phase 1 Planning: </w:t>
      </w:r>
      <w:r>
        <w:rPr>
          <w:sz w:val="22"/>
        </w:rPr>
        <w:t>Detailed sprint planning for the first phase of full implementation, leveraging POV artifacts, learnings, and working code as accelerators.</w:t>
      </w:r>
    </w:p>
    <w:p>
      <w:pPr>
        <w:pStyle w:val="ListParagraph"/>
        <w:numPr>
          <w:ilvl w:val="0"/>
          <w:numId w:val="1"/>
        </w:numPr>
      </w:pPr>
      <w:r>
        <w:rPr>
          <w:b/>
          <w:sz w:val="22"/>
        </w:rPr>
        <w:t xml:space="preserve">Commercial Finalization: </w:t>
      </w:r>
      <w:r>
        <w:rPr>
          <w:sz w:val="22"/>
        </w:rPr>
        <w:t>Parallel-path contract negotiation, MSA/SOW execution, and procurement processing to minimize gap between POV conclusion and implementation kickoff.</w:t>
      </w:r>
    </w:p>
    <w:p>
      <w:pPr>
        <w:pStyle w:val="Heading1"/>
      </w:pPr>
      <w:r>
        <w:rPr>
          <w:color w:val="0F4761"/>
          <w:sz w:val="40"/>
        </w:rPr>
        <w:t>9. Conclusion</w:t>
      </w:r>
    </w:p>
    <w:p>
      <w:r>
        <w:rPr>
          <w:sz w:val="22"/>
        </w:rPr>
        <w:t>The Proof of Value engagement represents Mastech Digital’s commitment to earning client trust through demonstrated results rather than promises. By providing a structured, time-boxed, and outcome-oriented framework for validating Snowflake solutions, the POV empowers enterprise buyers to make confident investment decisions backed by evidence from their own environment, their own data, and their own success criteria.</w:t>
      </w:r>
    </w:p>
    <w:p>
      <w:r>
        <w:rPr>
          <w:sz w:val="22"/>
        </w:rPr>
        <w:t>With quantified outcomes including 50–70% faster migration, 40–60% TCO reduction, 70% effort reduction in data engineering, 100x faster insights in analytics, and 99.9% SLA compliance in platform operations, the POV provides the empirical foundation that transforms a complex buying decision into a confident, well-supported business investment. Mastech Digital stands ready to partner with your organization in demonstrating these outcomes through a tailored POV engagement.</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jc w:val="left"/>
    </w:pPr>
    <w:r>
      <w:rPr>
        <w:color w:val="595959"/>
        <w:sz w:val="18"/>
      </w:rPr>
      <w:t>Intended for internal use and client delivery</w:t>
    </w:r>
    <w:r>
      <w:rPr>
        <w:sz w:val="18"/>
      </w:rPr>
      <w:tab/>
      <w:tab/>
    </w:r>
    <w:r>
      <w:rPr>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color w:val="595959"/>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