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
    <w:p/>
    <w:p/>
    <w:p>
      <w:pPr>
        <w:pStyle w:val="Title"/>
        <w:jc w:val="left"/>
      </w:pPr>
      <w:r>
        <w:rPr>
          <w:color w:val="0F4761"/>
          <w:sz w:val="56"/>
        </w:rPr>
        <w:t>Sales Collateral – Decision Process</w:t>
      </w:r>
    </w:p>
    <w:p>
      <w:pPr>
        <w:pStyle w:val="Title"/>
        <w:jc w:val="left"/>
      </w:pPr>
      <w:r>
        <w:rPr>
          <w:b/>
          <w:color w:val="0F4761"/>
          <w:sz w:val="72"/>
        </w:rPr>
        <w:t>Stakeholder Mapping &amp; Engagement Guide</w:t>
      </w:r>
    </w:p>
    <w:p>
      <w:pPr>
        <w:pStyle w:val="Subtitle"/>
        <w:jc w:val="left"/>
      </w:pPr>
      <w:r>
        <w:rPr>
          <w:color w:val="595959"/>
          <w:sz w:val="36"/>
        </w:rPr>
        <w:t>Navigating the Enterprise Buying Committee</w:t>
      </w:r>
    </w:p>
    <w:p/>
    <w:p/>
    <w:p>
      <w:pPr>
        <w:jc w:val="left"/>
      </w:pPr>
      <w:r>
        <w:rPr>
          <w:b/>
          <w:color w:val="0F4761"/>
          <w:sz w:val="28"/>
        </w:rPr>
        <w:t>Mastech Digital  |  Snowflake Elite Partner</w:t>
      </w:r>
    </w:p>
    <w:p>
      <w:r>
        <w:rPr>
          <w:color w:val="595959"/>
          <w:sz w:val="22"/>
        </w:rPr>
        <w:t>Confidential — For Internal Use and Client Delivery</w:t>
      </w:r>
    </w:p>
    <w:p>
      <w:r>
        <w:br w:type="page"/>
      </w:r>
    </w:p>
    <w:p>
      <w:pPr>
        <w:pStyle w:val="Heading1"/>
      </w:pPr>
      <w:r>
        <w:rPr>
          <w:color w:val="0F4761"/>
          <w:sz w:val="40"/>
        </w:rPr>
        <w:t>1. Executive Summary</w:t>
      </w:r>
    </w:p>
    <w:p>
      <w:r>
        <w:rPr>
          <w:sz w:val="22"/>
        </w:rPr>
        <w:t>Enterprise data and AI transformation initiatives represent significant strategic investments that invariably involve complex, multi-stakeholder buying decisions. A typical Snowflake platform deal engages 6–10 distinct stakeholders across technology, finance, data strategy, security, and procurement functions—each with unique concerns, motivations, and decision authority. Navigating this buying committee effectively is the single most critical factor in accelerating the sales cycle and achieving favorable deal outcomes.</w:t>
      </w:r>
    </w:p>
    <w:p>
      <w:r>
        <w:rPr>
          <w:sz w:val="22"/>
        </w:rPr>
        <w:t>This Stakeholder Mapping &amp; Engagement Guide provides Mastech Digital’s sales and solutions teams with a systematic framework for identifying, prioritizing, and engaging each member of the enterprise buying committee. The guide maps specific Mastech Digital offerings and value propositions to individual stakeholder concerns, ensuring that every conversation delivers targeted, relevant messaging that advances the deal.</w:t>
      </w:r>
    </w:p>
    <w:p>
      <w:r>
        <w:rPr>
          <w:sz w:val="22"/>
        </w:rPr>
        <w:t>By following the engagement sequence, messaging matrix, and acceleration strategies outlined in this guide, sales teams can compress complex enterprise sales cycles by 20–30%, increase win rates through systematic stakeholder coverage, and build multi-threaded relationships that create durable competitive advantage throughout the evaluation process.</w:t>
      </w:r>
    </w:p>
    <w:p>
      <w:pPr>
        <w:pStyle w:val="Heading1"/>
      </w:pPr>
      <w:r>
        <w:rPr>
          <w:color w:val="0F4761"/>
          <w:sz w:val="40"/>
        </w:rPr>
        <w:t>2. Typical Buying Committee for Data &amp; AI Transformation</w:t>
      </w:r>
    </w:p>
    <w:p>
      <w:r>
        <w:rPr>
          <w:sz w:val="22"/>
        </w:rPr>
        <w:t>The composition of the buying committee for enterprise data and AI transformation programs varies by organization size, industry, and maturity. However, Mastech Digital’s experience across hundreds of engagements reveals a consistent pattern of stakeholder roles that influence the decision. Understanding each role’s sphere of influence, decision authority, and evaluation criteria is essential for effective engagement.</w:t>
      </w:r>
    </w:p>
    <w:p>
      <w:pPr>
        <w:pStyle w:val="Heading2"/>
      </w:pPr>
      <w:r>
        <w:rPr>
          <w:color w:val="0F4761"/>
          <w:sz w:val="32"/>
        </w:rPr>
        <w:t>2.1 CIO / CTO – Technical Vision &amp; Architecture</w:t>
      </w:r>
    </w:p>
    <w:p>
      <w:r>
        <w:rPr>
          <w:sz w:val="22"/>
        </w:rPr>
        <w:t>The CIO or CTO sets the technology strategy and owns the enterprise architecture direction. They evaluate how Snowflake aligns with broader technology modernization initiatives, cloud strategy, and technical debt reduction goals. Their primary concern is ensuring that the platform investment creates a sustainable, scalable foundation rather than introducing new technical debt or vendor lock-in.</w:t>
      </w:r>
    </w:p>
    <w:p>
      <w:pPr>
        <w:pStyle w:val="ListParagraph"/>
        <w:numPr>
          <w:ilvl w:val="0"/>
          <w:numId w:val="1"/>
        </w:numPr>
      </w:pPr>
      <w:r>
        <w:rPr>
          <w:b/>
          <w:sz w:val="22"/>
        </w:rPr>
        <w:t xml:space="preserve">Decision Authority: </w:t>
      </w:r>
      <w:r>
        <w:rPr>
          <w:sz w:val="22"/>
        </w:rPr>
        <w:t>Final technical approval and architecture governance sign-off. Often the ultimate decision maker or co-decision maker alongside the CFO for investments exceeding $500K.</w:t>
      </w:r>
    </w:p>
    <w:p>
      <w:pPr>
        <w:pStyle w:val="ListParagraph"/>
        <w:numPr>
          <w:ilvl w:val="0"/>
          <w:numId w:val="1"/>
        </w:numPr>
      </w:pPr>
      <w:r>
        <w:rPr>
          <w:b/>
          <w:sz w:val="22"/>
        </w:rPr>
        <w:t xml:space="preserve">Key Influence: </w:t>
      </w:r>
      <w:r>
        <w:rPr>
          <w:sz w:val="22"/>
        </w:rPr>
        <w:t>Sets evaluation criteria for technical architecture, integration standards, and vendor selection frameworks that the evaluation team must follow.</w:t>
      </w:r>
    </w:p>
    <w:p>
      <w:pPr>
        <w:pStyle w:val="Heading2"/>
      </w:pPr>
      <w:r>
        <w:rPr>
          <w:color w:val="0F4761"/>
          <w:sz w:val="32"/>
        </w:rPr>
        <w:t>2.2 CFO – Budget &amp; Financial Justification</w:t>
      </w:r>
    </w:p>
    <w:p>
      <w:r>
        <w:rPr>
          <w:sz w:val="22"/>
        </w:rPr>
        <w:t>The CFO evaluates the financial merit of the investment, focusing on total cost of ownership, return on investment, and alignment with capital allocation priorities. They require rigorous financial analysis that demonstrates clear payback timelines and quantified business impact.</w:t>
      </w:r>
    </w:p>
    <w:p>
      <w:pPr>
        <w:pStyle w:val="ListParagraph"/>
        <w:numPr>
          <w:ilvl w:val="0"/>
          <w:numId w:val="1"/>
        </w:numPr>
      </w:pPr>
      <w:r>
        <w:rPr>
          <w:b/>
          <w:sz w:val="22"/>
        </w:rPr>
        <w:t xml:space="preserve">Decision Authority: </w:t>
      </w:r>
      <w:r>
        <w:rPr>
          <w:sz w:val="22"/>
        </w:rPr>
        <w:t>Budget approval and financial governance. Controls the funding mechanism (CapEx vs OpEx), approval thresholds, and payment terms.</w:t>
      </w:r>
    </w:p>
    <w:p>
      <w:pPr>
        <w:pStyle w:val="ListParagraph"/>
        <w:numPr>
          <w:ilvl w:val="0"/>
          <w:numId w:val="1"/>
        </w:numPr>
      </w:pPr>
      <w:r>
        <w:rPr>
          <w:b/>
          <w:sz w:val="22"/>
        </w:rPr>
        <w:t xml:space="preserve">Key Influence: </w:t>
      </w:r>
      <w:r>
        <w:rPr>
          <w:sz w:val="22"/>
        </w:rPr>
        <w:t>Determines the financial framework for evaluation including ROI hurdle rates, payback period requirements, and TCO comparison methodology.</w:t>
      </w:r>
    </w:p>
    <w:p>
      <w:pPr>
        <w:pStyle w:val="Heading2"/>
      </w:pPr>
      <w:r>
        <w:rPr>
          <w:color w:val="0F4761"/>
          <w:sz w:val="32"/>
        </w:rPr>
        <w:t>2.3 CDO – Data Strategy &amp; Governance</w:t>
      </w:r>
    </w:p>
    <w:p>
      <w:r>
        <w:rPr>
          <w:sz w:val="22"/>
        </w:rPr>
        <w:t>The Chief Data Officer owns the enterprise data strategy, governance framework, and data quality standards. They evaluate how the Snowflake platform supports data democratization, governance compliance, and the organization’s data-driven decision-making maturity journey.</w:t>
      </w:r>
    </w:p>
    <w:p>
      <w:pPr>
        <w:pStyle w:val="ListParagraph"/>
        <w:numPr>
          <w:ilvl w:val="0"/>
          <w:numId w:val="1"/>
        </w:numPr>
      </w:pPr>
      <w:r>
        <w:rPr>
          <w:b/>
          <w:sz w:val="22"/>
        </w:rPr>
        <w:t xml:space="preserve">Decision Authority: </w:t>
      </w:r>
      <w:r>
        <w:rPr>
          <w:sz w:val="22"/>
        </w:rPr>
        <w:t>Data governance approval, data architecture standards, and data access policy sign-off. Often has veto power on solutions that compromise governance requirements.</w:t>
      </w:r>
    </w:p>
    <w:p>
      <w:pPr>
        <w:pStyle w:val="ListParagraph"/>
        <w:numPr>
          <w:ilvl w:val="0"/>
          <w:numId w:val="1"/>
        </w:numPr>
      </w:pPr>
      <w:r>
        <w:rPr>
          <w:b/>
          <w:sz w:val="22"/>
        </w:rPr>
        <w:t xml:space="preserve">Key Influence: </w:t>
      </w:r>
      <w:r>
        <w:rPr>
          <w:sz w:val="22"/>
        </w:rPr>
        <w:t>Defines data quality standards, metadata management requirements, and data catalog expectations that the solution must satisfy.</w:t>
      </w:r>
    </w:p>
    <w:p>
      <w:pPr>
        <w:pStyle w:val="Heading2"/>
      </w:pPr>
      <w:r>
        <w:rPr>
          <w:color w:val="0F4761"/>
          <w:sz w:val="32"/>
        </w:rPr>
        <w:t>2.4 VP/Director of Data Engineering – Technical Evaluation</w:t>
      </w:r>
    </w:p>
    <w:p>
      <w:r>
        <w:rPr>
          <w:sz w:val="22"/>
        </w:rPr>
        <w:t>This stakeholder leads the hands-on technical evaluation and is responsible for the team that will build and maintain the Snowflake platform. They assess technical feasibility, team readiness, migration complexity, and the operational impact on their engineering organization.</w:t>
      </w:r>
    </w:p>
    <w:p>
      <w:pPr>
        <w:pStyle w:val="ListParagraph"/>
        <w:numPr>
          <w:ilvl w:val="0"/>
          <w:numId w:val="1"/>
        </w:numPr>
      </w:pPr>
      <w:r>
        <w:rPr>
          <w:b/>
          <w:sz w:val="22"/>
        </w:rPr>
        <w:t xml:space="preserve">Decision Authority: </w:t>
      </w:r>
      <w:r>
        <w:rPr>
          <w:sz w:val="22"/>
        </w:rPr>
        <w:t>Technical recommendation to CIO/CTO. Their positive or negative assessment carries significant weight in the technical evaluation gate.</w:t>
      </w:r>
    </w:p>
    <w:p>
      <w:pPr>
        <w:pStyle w:val="ListParagraph"/>
        <w:numPr>
          <w:ilvl w:val="0"/>
          <w:numId w:val="1"/>
        </w:numPr>
      </w:pPr>
      <w:r>
        <w:rPr>
          <w:b/>
          <w:sz w:val="22"/>
        </w:rPr>
        <w:t xml:space="preserve">Key Influence: </w:t>
      </w:r>
      <w:r>
        <w:rPr>
          <w:sz w:val="22"/>
        </w:rPr>
        <w:t>Defines detailed technical requirements, leads POV execution, and evaluates partner capabilities against the team’s needs.</w:t>
      </w:r>
    </w:p>
    <w:p>
      <w:pPr>
        <w:pStyle w:val="Heading2"/>
      </w:pPr>
      <w:r>
        <w:rPr>
          <w:color w:val="0F4761"/>
          <w:sz w:val="32"/>
        </w:rPr>
        <w:t>2.5 VP/Director of Analytics – Business Use Case</w:t>
      </w:r>
    </w:p>
    <w:p>
      <w:r>
        <w:rPr>
          <w:sz w:val="22"/>
        </w:rPr>
        <w:t>The analytics leader represents the business user community and evaluates how the solution improves analytics capabilities, self-service access, and business decision-making speed. They are often the most vocal champion or detractor based on user experience considerations.</w:t>
      </w:r>
    </w:p>
    <w:p>
      <w:pPr>
        <w:pStyle w:val="ListParagraph"/>
        <w:numPr>
          <w:ilvl w:val="0"/>
          <w:numId w:val="1"/>
        </w:numPr>
      </w:pPr>
      <w:r>
        <w:rPr>
          <w:b/>
          <w:sz w:val="22"/>
        </w:rPr>
        <w:t xml:space="preserve">Decision Authority: </w:t>
      </w:r>
      <w:r>
        <w:rPr>
          <w:sz w:val="22"/>
        </w:rPr>
        <w:t>Business requirements validation and user acceptance. Their endorsement is critical for demonstrating business demand and adoption potential.</w:t>
      </w:r>
    </w:p>
    <w:p>
      <w:pPr>
        <w:pStyle w:val="ListParagraph"/>
        <w:numPr>
          <w:ilvl w:val="0"/>
          <w:numId w:val="1"/>
        </w:numPr>
      </w:pPr>
      <w:r>
        <w:rPr>
          <w:b/>
          <w:sz w:val="22"/>
        </w:rPr>
        <w:t xml:space="preserve">Key Influence: </w:t>
      </w:r>
      <w:r>
        <w:rPr>
          <w:sz w:val="22"/>
        </w:rPr>
        <w:t>Defines business use cases, user experience requirements, and adoption success criteria that shape the solution design.</w:t>
      </w:r>
    </w:p>
    <w:p>
      <w:pPr>
        <w:pStyle w:val="Heading2"/>
      </w:pPr>
      <w:r>
        <w:rPr>
          <w:color w:val="0F4761"/>
          <w:sz w:val="32"/>
        </w:rPr>
        <w:t>2.6 VP/Director of Data Science – ML/AI Requirements</w:t>
      </w:r>
    </w:p>
    <w:p>
      <w:r>
        <w:rPr>
          <w:sz w:val="22"/>
        </w:rPr>
        <w:t>The data science leader evaluates the platform’s ML and AI capabilities, including experiment tracking, model management, feature engineering, and production ML operations. They assess how the solution accelerates the ML lifecycle and enables their team to deliver more models to production.</w:t>
      </w:r>
    </w:p>
    <w:p>
      <w:pPr>
        <w:pStyle w:val="ListParagraph"/>
        <w:numPr>
          <w:ilvl w:val="0"/>
          <w:numId w:val="1"/>
        </w:numPr>
      </w:pPr>
      <w:r>
        <w:rPr>
          <w:b/>
          <w:sz w:val="22"/>
        </w:rPr>
        <w:t xml:space="preserve">Decision Authority: </w:t>
      </w:r>
      <w:r>
        <w:rPr>
          <w:sz w:val="22"/>
        </w:rPr>
        <w:t>ML platform requirements and tooling selection. Influences the AI/ML component of the overall platform decision.</w:t>
      </w:r>
    </w:p>
    <w:p>
      <w:pPr>
        <w:pStyle w:val="ListParagraph"/>
        <w:numPr>
          <w:ilvl w:val="0"/>
          <w:numId w:val="1"/>
        </w:numPr>
      </w:pPr>
      <w:r>
        <w:rPr>
          <w:b/>
          <w:sz w:val="22"/>
        </w:rPr>
        <w:t xml:space="preserve">Key Influence: </w:t>
      </w:r>
      <w:r>
        <w:rPr>
          <w:sz w:val="22"/>
        </w:rPr>
        <w:t>Defines MLOps requirements, model governance standards, and AI use case priorities that shape the ML platform architecture.</w:t>
      </w:r>
    </w:p>
    <w:p>
      <w:pPr>
        <w:pStyle w:val="Heading2"/>
      </w:pPr>
      <w:r>
        <w:rPr>
          <w:color w:val="0F4761"/>
          <w:sz w:val="32"/>
        </w:rPr>
        <w:t>2.7 IT Security / CISO – Security &amp; Compliance</w:t>
      </w:r>
    </w:p>
    <w:p>
      <w:r>
        <w:rPr>
          <w:sz w:val="22"/>
        </w:rPr>
        <w:t>The CISO or IT Security leader evaluates the security posture, compliance capabilities, and risk profile of the proposed solution. Their assessment can accelerate or block the deal depending on how well the solution addresses security requirements.</w:t>
      </w:r>
    </w:p>
    <w:p>
      <w:pPr>
        <w:pStyle w:val="ListParagraph"/>
        <w:numPr>
          <w:ilvl w:val="0"/>
          <w:numId w:val="1"/>
        </w:numPr>
      </w:pPr>
      <w:r>
        <w:rPr>
          <w:b/>
          <w:sz w:val="22"/>
        </w:rPr>
        <w:t xml:space="preserve">Decision Authority: </w:t>
      </w:r>
      <w:r>
        <w:rPr>
          <w:sz w:val="22"/>
        </w:rPr>
        <w:t>Security approval and compliance sign-off. Has effective veto power on solutions that fail security assessment.</w:t>
      </w:r>
    </w:p>
    <w:p>
      <w:pPr>
        <w:pStyle w:val="ListParagraph"/>
        <w:numPr>
          <w:ilvl w:val="0"/>
          <w:numId w:val="1"/>
        </w:numPr>
      </w:pPr>
      <w:r>
        <w:rPr>
          <w:b/>
          <w:sz w:val="22"/>
        </w:rPr>
        <w:t xml:space="preserve">Key Influence: </w:t>
      </w:r>
      <w:r>
        <w:rPr>
          <w:sz w:val="22"/>
        </w:rPr>
        <w:t>Defines security requirements including encryption, access control, audit logging, network isolation, and regulatory compliance standards.</w:t>
      </w:r>
    </w:p>
    <w:p>
      <w:pPr>
        <w:pStyle w:val="Heading2"/>
      </w:pPr>
      <w:r>
        <w:rPr>
          <w:color w:val="0F4761"/>
          <w:sz w:val="32"/>
        </w:rPr>
        <w:t>2.8 Procurement – Contract &amp; Commercial Terms</w:t>
      </w:r>
    </w:p>
    <w:p>
      <w:r>
        <w:rPr>
          <w:sz w:val="22"/>
        </w:rPr>
        <w:t>The procurement team manages vendor selection process, contract negotiation, and commercial terms. While they typically do not influence the technical or business decision, they control the timeline and commercial structure of the engagement.</w:t>
      </w:r>
    </w:p>
    <w:p>
      <w:pPr>
        <w:pStyle w:val="ListParagraph"/>
        <w:numPr>
          <w:ilvl w:val="0"/>
          <w:numId w:val="1"/>
        </w:numPr>
      </w:pPr>
      <w:r>
        <w:rPr>
          <w:b/>
          <w:sz w:val="22"/>
        </w:rPr>
        <w:t xml:space="preserve">Decision Authority: </w:t>
      </w:r>
      <w:r>
        <w:rPr>
          <w:sz w:val="22"/>
        </w:rPr>
        <w:t>Contract execution, vendor onboarding, payment terms, and commercial governance. Controls the final milestone in the buying process.</w:t>
      </w:r>
    </w:p>
    <w:p>
      <w:pPr>
        <w:pStyle w:val="ListParagraph"/>
        <w:numPr>
          <w:ilvl w:val="0"/>
          <w:numId w:val="1"/>
        </w:numPr>
      </w:pPr>
      <w:r>
        <w:rPr>
          <w:b/>
          <w:sz w:val="22"/>
        </w:rPr>
        <w:t xml:space="preserve">Key Influence: </w:t>
      </w:r>
      <w:r>
        <w:rPr>
          <w:sz w:val="22"/>
        </w:rPr>
        <w:t>Defines vendor qualification requirements, contract templates, rate card structures, and procurement timeline constraints.</w:t>
      </w:r>
    </w:p>
    <w:p>
      <w:pPr>
        <w:pStyle w:val="Heading1"/>
      </w:pPr>
      <w:r>
        <w:rPr>
          <w:color w:val="0F4761"/>
          <w:sz w:val="40"/>
        </w:rPr>
        <w:t>3. Stakeholder Concerns &amp; Messaging Matrix</w:t>
      </w:r>
    </w:p>
    <w:p>
      <w:r>
        <w:rPr>
          <w:sz w:val="22"/>
        </w:rPr>
        <w:t>The following messaging matrix provides tailored engagement guidance for each stakeholder role. Each entry maps the stakeholder’s primary concerns and motivations to the specific Mastech Digital offering and value metrics that resonate most strongly. Sales teams should use this matrix to prepare for stakeholder meetings, customize presentations, and align messaging to individual priorities.</w:t>
      </w:r>
    </w:p>
    <w:p>
      <w:pPr>
        <w:pStyle w:val="Heading2"/>
      </w:pPr>
      <w:r>
        <w:rPr>
          <w:color w:val="0F4761"/>
          <w:sz w:val="32"/>
        </w:rPr>
        <w:t>3.1 CIO/CTO Messaging</w:t>
      </w:r>
    </w:p>
    <w:p>
      <w:pPr>
        <w:pStyle w:val="ListParagraph"/>
        <w:numPr>
          <w:ilvl w:val="0"/>
          <w:numId w:val="1"/>
        </w:numPr>
      </w:pPr>
      <w:r>
        <w:rPr>
          <w:b/>
          <w:sz w:val="22"/>
        </w:rPr>
        <w:t xml:space="preserve">Key Concerns: </w:t>
      </w:r>
      <w:r>
        <w:rPr>
          <w:sz w:val="22"/>
        </w:rPr>
        <w:t>Technology debt reduction, platform consolidation, architecture scalability, vendor lock-in risk, cloud strategy alignment, and long-term sustainability of the platform investment.</w:t>
      </w:r>
    </w:p>
    <w:p>
      <w:pPr>
        <w:pStyle w:val="ListParagraph"/>
        <w:numPr>
          <w:ilvl w:val="0"/>
          <w:numId w:val="1"/>
        </w:numPr>
      </w:pPr>
      <w:r>
        <w:rPr>
          <w:b/>
          <w:sz w:val="22"/>
        </w:rPr>
        <w:t xml:space="preserve">Primary Motivations: </w:t>
      </w:r>
      <w:r>
        <w:rPr>
          <w:sz w:val="22"/>
        </w:rPr>
        <w:t>Simplify the technology landscape, reduce operational complexity, enable innovation velocity, and establish a future-proof data and AI foundation.</w:t>
      </w:r>
    </w:p>
    <w:p>
      <w:pPr>
        <w:pStyle w:val="ListParagraph"/>
        <w:numPr>
          <w:ilvl w:val="0"/>
          <w:numId w:val="1"/>
        </w:numPr>
      </w:pPr>
      <w:r>
        <w:rPr>
          <w:b/>
          <w:sz w:val="22"/>
        </w:rPr>
        <w:t xml:space="preserve">Recommended Messaging Angle: </w:t>
      </w:r>
      <w:r>
        <w:rPr>
          <w:sz w:val="22"/>
        </w:rPr>
        <w:t>Position AI-Native Platform Modernization as the strategic foundation that consolidates fragmented legacy systems into a unified data cloud architecture, reducing technical debt while enabling a modern AI-ready platform.</w:t>
      </w:r>
    </w:p>
    <w:p>
      <w:pPr>
        <w:pStyle w:val="ListParagraph"/>
        <w:numPr>
          <w:ilvl w:val="0"/>
          <w:numId w:val="1"/>
        </w:numPr>
      </w:pPr>
      <w:r>
        <w:rPr>
          <w:b/>
          <w:sz w:val="22"/>
        </w:rPr>
        <w:t xml:space="preserve">Lead Offering: </w:t>
      </w:r>
      <w:r>
        <w:rPr>
          <w:sz w:val="22"/>
        </w:rPr>
        <w:t>AI-Native Platform Modernization — emphasize SLM automation for accelerated migration and Autonomous Platform Operations for sustainable, low-touch operations.</w:t>
      </w:r>
    </w:p>
    <w:p>
      <w:pPr>
        <w:pStyle w:val="ListParagraph"/>
        <w:numPr>
          <w:ilvl w:val="0"/>
          <w:numId w:val="1"/>
        </w:numPr>
      </w:pPr>
      <w:r>
        <w:rPr>
          <w:b/>
          <w:sz w:val="22"/>
        </w:rPr>
        <w:t xml:space="preserve">Key Metrics to Present: </w:t>
      </w:r>
      <w:r>
        <w:rPr>
          <w:sz w:val="22"/>
        </w:rPr>
        <w:t>50–70% faster migration timelines, 40–60% TCO reduction, 99.9% SLA compliance, and 70% operational efficiency improvement.</w:t>
      </w:r>
    </w:p>
    <w:p>
      <w:pPr>
        <w:pStyle w:val="Heading2"/>
      </w:pPr>
      <w:r>
        <w:rPr>
          <w:color w:val="0F4761"/>
          <w:sz w:val="32"/>
        </w:rPr>
        <w:t>3.2 CFO Messaging</w:t>
      </w:r>
    </w:p>
    <w:p>
      <w:pPr>
        <w:pStyle w:val="ListParagraph"/>
        <w:numPr>
          <w:ilvl w:val="0"/>
          <w:numId w:val="1"/>
        </w:numPr>
      </w:pPr>
      <w:r>
        <w:rPr>
          <w:b/>
          <w:sz w:val="22"/>
        </w:rPr>
        <w:t xml:space="preserve">Key Concerns: </w:t>
      </w:r>
      <w:r>
        <w:rPr>
          <w:sz w:val="22"/>
        </w:rPr>
        <w:t>Total cost of ownership, return on investment, payback period, budget predictability, risk of cost overruns, and alignment with capital allocation priorities.</w:t>
      </w:r>
    </w:p>
    <w:p>
      <w:pPr>
        <w:pStyle w:val="ListParagraph"/>
        <w:numPr>
          <w:ilvl w:val="0"/>
          <w:numId w:val="1"/>
        </w:numPr>
      </w:pPr>
      <w:r>
        <w:rPr>
          <w:b/>
          <w:sz w:val="22"/>
        </w:rPr>
        <w:t xml:space="preserve">Primary Motivations: </w:t>
      </w:r>
      <w:r>
        <w:rPr>
          <w:sz w:val="22"/>
        </w:rPr>
        <w:t>Maximize return on technology investments, optimize IT spending, achieve measurable business outcomes from data initiatives, and ensure financial governance.</w:t>
      </w:r>
    </w:p>
    <w:p>
      <w:pPr>
        <w:pStyle w:val="ListParagraph"/>
        <w:numPr>
          <w:ilvl w:val="0"/>
          <w:numId w:val="1"/>
        </w:numPr>
      </w:pPr>
      <w:r>
        <w:rPr>
          <w:b/>
          <w:sz w:val="22"/>
        </w:rPr>
        <w:t xml:space="preserve">Recommended Messaging Angle: </w:t>
      </w:r>
      <w:r>
        <w:rPr>
          <w:sz w:val="22"/>
        </w:rPr>
        <w:t>Lead with the quantified financial impact: TCO reduction from platform consolidation, effort savings from automation, and revenue acceleration from faster insights. Frame the POV as a risk-free validation of the business case before full commitment.</w:t>
      </w:r>
    </w:p>
    <w:p>
      <w:pPr>
        <w:pStyle w:val="ListParagraph"/>
        <w:numPr>
          <w:ilvl w:val="0"/>
          <w:numId w:val="1"/>
        </w:numPr>
      </w:pPr>
      <w:r>
        <w:rPr>
          <w:b/>
          <w:sz w:val="22"/>
        </w:rPr>
        <w:t xml:space="preserve">Lead Offering: </w:t>
      </w:r>
      <w:r>
        <w:rPr>
          <w:sz w:val="22"/>
        </w:rPr>
        <w:t>Platform Modernization (for TCO reduction) combined with Autonomous Platform Operations (for ongoing cost optimization and 25–45% infrastructure cost savings).</w:t>
      </w:r>
    </w:p>
    <w:p>
      <w:pPr>
        <w:pStyle w:val="ListParagraph"/>
        <w:numPr>
          <w:ilvl w:val="0"/>
          <w:numId w:val="1"/>
        </w:numPr>
      </w:pPr>
      <w:r>
        <w:rPr>
          <w:b/>
          <w:sz w:val="22"/>
        </w:rPr>
        <w:t xml:space="preserve">Key Metrics to Present: </w:t>
      </w:r>
      <w:r>
        <w:rPr>
          <w:sz w:val="22"/>
        </w:rPr>
        <w:t>40–60% TCO reduction, 25–45% ongoing cost optimization, 70% effort reduction across engineering workflows, and validated ROI from POV engagement.</w:t>
      </w:r>
    </w:p>
    <w:p>
      <w:pPr>
        <w:pStyle w:val="Heading2"/>
      </w:pPr>
      <w:r>
        <w:rPr>
          <w:color w:val="0F4761"/>
          <w:sz w:val="32"/>
        </w:rPr>
        <w:t>3.3 CDO Messaging</w:t>
      </w:r>
    </w:p>
    <w:p>
      <w:pPr>
        <w:pStyle w:val="ListParagraph"/>
        <w:numPr>
          <w:ilvl w:val="0"/>
          <w:numId w:val="1"/>
        </w:numPr>
      </w:pPr>
      <w:r>
        <w:rPr>
          <w:b/>
          <w:sz w:val="22"/>
        </w:rPr>
        <w:t xml:space="preserve">Key Concerns: </w:t>
      </w:r>
      <w:r>
        <w:rPr>
          <w:sz w:val="22"/>
        </w:rPr>
        <w:t>Data governance maturity, data quality assurance, regulatory compliance, data democratization balance, metadata management, and data lineage transparency.</w:t>
      </w:r>
    </w:p>
    <w:p>
      <w:pPr>
        <w:pStyle w:val="ListParagraph"/>
        <w:numPr>
          <w:ilvl w:val="0"/>
          <w:numId w:val="1"/>
        </w:numPr>
      </w:pPr>
      <w:r>
        <w:rPr>
          <w:b/>
          <w:sz w:val="22"/>
        </w:rPr>
        <w:t xml:space="preserve">Primary Motivations: </w:t>
      </w:r>
      <w:r>
        <w:rPr>
          <w:sz w:val="22"/>
        </w:rPr>
        <w:t>Establish enterprise-wide data governance, enable self-service data access with appropriate controls, improve data quality scores, and demonstrate data-driven value creation.</w:t>
      </w:r>
    </w:p>
    <w:p>
      <w:pPr>
        <w:pStyle w:val="ListParagraph"/>
        <w:numPr>
          <w:ilvl w:val="0"/>
          <w:numId w:val="1"/>
        </w:numPr>
      </w:pPr>
      <w:r>
        <w:rPr>
          <w:b/>
          <w:sz w:val="22"/>
        </w:rPr>
        <w:t xml:space="preserve">Recommended Messaging Angle: </w:t>
      </w:r>
      <w:r>
        <w:rPr>
          <w:sz w:val="22"/>
        </w:rPr>
        <w:t>Emphasize Snowflake Horizon governance integration across all offerings, demonstrating how Mastech Digital’s approach embeds governance into every layer of the platform rather than treating it as an afterthought.</w:t>
      </w:r>
    </w:p>
    <w:p>
      <w:pPr>
        <w:pStyle w:val="ListParagraph"/>
        <w:numPr>
          <w:ilvl w:val="0"/>
          <w:numId w:val="1"/>
        </w:numPr>
      </w:pPr>
      <w:r>
        <w:rPr>
          <w:b/>
          <w:sz w:val="22"/>
        </w:rPr>
        <w:t xml:space="preserve">Lead Offering: </w:t>
      </w:r>
      <w:r>
        <w:rPr>
          <w:sz w:val="22"/>
        </w:rPr>
        <w:t>Autonomous Data Engineering (for governance-embedded pipelines with Snowflake Managed Tables with Apache Iceberg and Snowflake Horizon) combined with Autonomous Analytics &amp; BI (for governed self-service).</w:t>
      </w:r>
    </w:p>
    <w:p>
      <w:pPr>
        <w:pStyle w:val="ListParagraph"/>
        <w:numPr>
          <w:ilvl w:val="0"/>
          <w:numId w:val="1"/>
        </w:numPr>
      </w:pPr>
      <w:r>
        <w:rPr>
          <w:b/>
          <w:sz w:val="22"/>
        </w:rPr>
        <w:t xml:space="preserve">Key Metrics to Present: </w:t>
      </w:r>
      <w:r>
        <w:rPr>
          <w:sz w:val="22"/>
        </w:rPr>
        <w:t>70% effort reduction in pipeline development with embedded governance, 90% user adoption for self-service analytics, and comprehensive data lineage and audit trail capabilities.</w:t>
      </w:r>
    </w:p>
    <w:p>
      <w:pPr>
        <w:pStyle w:val="Heading2"/>
      </w:pPr>
      <w:r>
        <w:rPr>
          <w:color w:val="0F4761"/>
          <w:sz w:val="32"/>
        </w:rPr>
        <w:t>3.4 VP/Director of Data Engineering Messaging</w:t>
      </w:r>
    </w:p>
    <w:p>
      <w:pPr>
        <w:pStyle w:val="ListParagraph"/>
        <w:numPr>
          <w:ilvl w:val="0"/>
          <w:numId w:val="1"/>
        </w:numPr>
      </w:pPr>
      <w:r>
        <w:rPr>
          <w:b/>
          <w:sz w:val="22"/>
        </w:rPr>
        <w:t xml:space="preserve">Key Concerns: </w:t>
      </w:r>
      <w:r>
        <w:rPr>
          <w:sz w:val="22"/>
        </w:rPr>
        <w:t>Team productivity, technical feasibility, migration risk, pipeline reliability, skills gap, and operational burden on the engineering team.</w:t>
      </w:r>
    </w:p>
    <w:p>
      <w:pPr>
        <w:pStyle w:val="ListParagraph"/>
        <w:numPr>
          <w:ilvl w:val="0"/>
          <w:numId w:val="1"/>
        </w:numPr>
      </w:pPr>
      <w:r>
        <w:rPr>
          <w:b/>
          <w:sz w:val="22"/>
        </w:rPr>
        <w:t xml:space="preserve">Primary Motivations: </w:t>
      </w:r>
      <w:r>
        <w:rPr>
          <w:sz w:val="22"/>
        </w:rPr>
        <w:t>Reduce toil, increase team productivity, build modern data infrastructure, adopt best-in-class tooling, and shift from maintenance to innovation.</w:t>
      </w:r>
    </w:p>
    <w:p>
      <w:pPr>
        <w:pStyle w:val="ListParagraph"/>
        <w:numPr>
          <w:ilvl w:val="0"/>
          <w:numId w:val="1"/>
        </w:numPr>
      </w:pPr>
      <w:r>
        <w:rPr>
          <w:b/>
          <w:sz w:val="22"/>
        </w:rPr>
        <w:t xml:space="preserve">Recommended Messaging Angle: </w:t>
      </w:r>
      <w:r>
        <w:rPr>
          <w:sz w:val="22"/>
        </w:rPr>
        <w:t>Lead with the 70% effort reduction in pipeline development and the AI agent-based automation that transforms the data engineering role from manual pipeline construction to intelligent orchestration and oversight.</w:t>
      </w:r>
    </w:p>
    <w:p>
      <w:pPr>
        <w:pStyle w:val="ListParagraph"/>
        <w:numPr>
          <w:ilvl w:val="0"/>
          <w:numId w:val="1"/>
        </w:numPr>
      </w:pPr>
      <w:r>
        <w:rPr>
          <w:b/>
          <w:sz w:val="22"/>
        </w:rPr>
        <w:t xml:space="preserve">Lead Offering: </w:t>
      </w:r>
      <w:r>
        <w:rPr>
          <w:sz w:val="22"/>
        </w:rPr>
        <w:t>Autonomous Data Engineering — demonstrate DLT, Snowflake Managed Tables with Apache Iceberg, AI agents for pipeline orchestration, and quality monitoring automation.</w:t>
      </w:r>
    </w:p>
    <w:p>
      <w:pPr>
        <w:pStyle w:val="ListParagraph"/>
        <w:numPr>
          <w:ilvl w:val="0"/>
          <w:numId w:val="1"/>
        </w:numPr>
      </w:pPr>
      <w:r>
        <w:rPr>
          <w:b/>
          <w:sz w:val="22"/>
        </w:rPr>
        <w:t xml:space="preserve">Key Metrics to Present: </w:t>
      </w:r>
      <w:r>
        <w:rPr>
          <w:sz w:val="22"/>
        </w:rPr>
        <w:t>70% effort reduction, autonomous pipeline orchestration, automated quality monitoring, and DLT/Snowflake Managed Tables with Apache Iceberg adoption for reliable, scalable data pipelines.</w:t>
      </w:r>
    </w:p>
    <w:p>
      <w:pPr>
        <w:pStyle w:val="Heading2"/>
      </w:pPr>
      <w:r>
        <w:rPr>
          <w:color w:val="0F4761"/>
          <w:sz w:val="32"/>
        </w:rPr>
        <w:t>3.5 VP/Director of Analytics Messaging</w:t>
      </w:r>
    </w:p>
    <w:p>
      <w:pPr>
        <w:pStyle w:val="ListParagraph"/>
        <w:numPr>
          <w:ilvl w:val="0"/>
          <w:numId w:val="1"/>
        </w:numPr>
      </w:pPr>
      <w:r>
        <w:rPr>
          <w:b/>
          <w:sz w:val="22"/>
        </w:rPr>
        <w:t xml:space="preserve">Key Concerns: </w:t>
      </w:r>
      <w:r>
        <w:rPr>
          <w:sz w:val="22"/>
        </w:rPr>
        <w:t>Business user adoption, self-service capability, report/dashboard proliferation, time-to-insight, analytics backlog, and data literacy across the organization.</w:t>
      </w:r>
    </w:p>
    <w:p>
      <w:pPr>
        <w:pStyle w:val="ListParagraph"/>
        <w:numPr>
          <w:ilvl w:val="0"/>
          <w:numId w:val="1"/>
        </w:numPr>
      </w:pPr>
      <w:r>
        <w:rPr>
          <w:b/>
          <w:sz w:val="22"/>
        </w:rPr>
        <w:t xml:space="preserve">Primary Motivations: </w:t>
      </w:r>
      <w:r>
        <w:rPr>
          <w:sz w:val="22"/>
        </w:rPr>
        <w:t>Democratize analytics, reduce dependency on technical teams for reporting, accelerate decision-making speed, and increase the business impact of analytics investments.</w:t>
      </w:r>
    </w:p>
    <w:p>
      <w:pPr>
        <w:pStyle w:val="ListParagraph"/>
        <w:numPr>
          <w:ilvl w:val="0"/>
          <w:numId w:val="1"/>
        </w:numPr>
      </w:pPr>
      <w:r>
        <w:rPr>
          <w:b/>
          <w:sz w:val="22"/>
        </w:rPr>
        <w:t xml:space="preserve">Recommended Messaging Angle: </w:t>
      </w:r>
      <w:r>
        <w:rPr>
          <w:sz w:val="22"/>
        </w:rPr>
        <w:t>Lead with natural language analytics and 100x faster insights. Demonstrate how business users can ask questions in plain language and receive accurate, governed answers without SQL knowledge or dashboard navigation skills.</w:t>
      </w:r>
    </w:p>
    <w:p>
      <w:pPr>
        <w:pStyle w:val="ListParagraph"/>
        <w:numPr>
          <w:ilvl w:val="0"/>
          <w:numId w:val="1"/>
        </w:numPr>
      </w:pPr>
      <w:r>
        <w:rPr>
          <w:b/>
          <w:sz w:val="22"/>
        </w:rPr>
        <w:t xml:space="preserve">Lead Offering: </w:t>
      </w:r>
      <w:r>
        <w:rPr>
          <w:sz w:val="22"/>
        </w:rPr>
        <w:t>Autonomous Analytics &amp; BI — NL analytics interface, self-service BI automation, semantic layer, and AI-generated dashboards.</w:t>
      </w:r>
    </w:p>
    <w:p>
      <w:pPr>
        <w:pStyle w:val="ListParagraph"/>
        <w:numPr>
          <w:ilvl w:val="0"/>
          <w:numId w:val="1"/>
        </w:numPr>
      </w:pPr>
      <w:r>
        <w:rPr>
          <w:b/>
          <w:sz w:val="22"/>
        </w:rPr>
        <w:t xml:space="preserve">Key Metrics to Present: </w:t>
      </w:r>
      <w:r>
        <w:rPr>
          <w:sz w:val="22"/>
        </w:rPr>
        <w:t>100x faster insights, 90% user adoption rate, elimination of analytics backlog, and self-service capability that reduces dependency on technical teams by 80%.</w:t>
      </w:r>
    </w:p>
    <w:p>
      <w:pPr>
        <w:pStyle w:val="Heading2"/>
      </w:pPr>
      <w:r>
        <w:rPr>
          <w:color w:val="0F4761"/>
          <w:sz w:val="32"/>
        </w:rPr>
        <w:t>3.6 VP/Director of Data Science Messaging</w:t>
      </w:r>
    </w:p>
    <w:p>
      <w:pPr>
        <w:pStyle w:val="ListParagraph"/>
        <w:numPr>
          <w:ilvl w:val="0"/>
          <w:numId w:val="1"/>
        </w:numPr>
      </w:pPr>
      <w:r>
        <w:rPr>
          <w:b/>
          <w:sz w:val="22"/>
        </w:rPr>
        <w:t xml:space="preserve">Key Concerns: </w:t>
      </w:r>
      <w:r>
        <w:rPr>
          <w:sz w:val="22"/>
        </w:rPr>
        <w:t>Model deployment velocity, experiment reproducibility, feature engineering bottlenecks, model governance, and the gap between prototype and production ML.</w:t>
      </w:r>
    </w:p>
    <w:p>
      <w:pPr>
        <w:pStyle w:val="ListParagraph"/>
        <w:numPr>
          <w:ilvl w:val="0"/>
          <w:numId w:val="1"/>
        </w:numPr>
      </w:pPr>
      <w:r>
        <w:rPr>
          <w:b/>
          <w:sz w:val="22"/>
        </w:rPr>
        <w:t xml:space="preserve">Primary Motivations: </w:t>
      </w:r>
      <w:r>
        <w:rPr>
          <w:sz w:val="22"/>
        </w:rPr>
        <w:t>Get more models into production, reduce time from experiment to deployment, establish robust MLOps practices, and demonstrate AI value to the business.</w:t>
      </w:r>
    </w:p>
    <w:p>
      <w:pPr>
        <w:pStyle w:val="ListParagraph"/>
        <w:numPr>
          <w:ilvl w:val="0"/>
          <w:numId w:val="1"/>
        </w:numPr>
      </w:pPr>
      <w:r>
        <w:rPr>
          <w:b/>
          <w:sz w:val="22"/>
        </w:rPr>
        <w:t xml:space="preserve">Recommended Messaging Angle: </w:t>
      </w:r>
      <w:r>
        <w:rPr>
          <w:sz w:val="22"/>
        </w:rPr>
        <w:t>Lead with the 3x increase in models deployed to production and 60–80% effort reduction in model development. Position Mastech Digital’s ML lifecycle automation as the bridge between data science experimentation and production AI at scale.</w:t>
      </w:r>
    </w:p>
    <w:p>
      <w:pPr>
        <w:pStyle w:val="ListParagraph"/>
        <w:numPr>
          <w:ilvl w:val="0"/>
          <w:numId w:val="1"/>
        </w:numPr>
      </w:pPr>
      <w:r>
        <w:rPr>
          <w:b/>
          <w:sz w:val="22"/>
        </w:rPr>
        <w:t xml:space="preserve">Lead Offering: </w:t>
      </w:r>
      <w:r>
        <w:rPr>
          <w:sz w:val="22"/>
        </w:rPr>
        <w:t>Autonomous Data Science — Snowflake Cortex ML, feature store, Snowflake ML integration, model registry, and automated monitoring for drift detection.</w:t>
      </w:r>
    </w:p>
    <w:p>
      <w:pPr>
        <w:pStyle w:val="ListParagraph"/>
        <w:numPr>
          <w:ilvl w:val="0"/>
          <w:numId w:val="1"/>
        </w:numPr>
      </w:pPr>
      <w:r>
        <w:rPr>
          <w:b/>
          <w:sz w:val="22"/>
        </w:rPr>
        <w:t xml:space="preserve">Key Metrics to Present: </w:t>
      </w:r>
      <w:r>
        <w:rPr>
          <w:sz w:val="22"/>
        </w:rPr>
        <w:t>60–80% effort reduction in model development, 3x more models deployed to production, automated drift detection, and end-to-end MLOps integration.</w:t>
      </w:r>
    </w:p>
    <w:p>
      <w:pPr>
        <w:pStyle w:val="Heading2"/>
      </w:pPr>
      <w:r>
        <w:rPr>
          <w:color w:val="0F4761"/>
          <w:sz w:val="32"/>
        </w:rPr>
        <w:t>3.7 IT Security / CISO Messaging</w:t>
      </w:r>
    </w:p>
    <w:p>
      <w:pPr>
        <w:pStyle w:val="ListParagraph"/>
        <w:numPr>
          <w:ilvl w:val="0"/>
          <w:numId w:val="1"/>
        </w:numPr>
      </w:pPr>
      <w:r>
        <w:rPr>
          <w:b/>
          <w:sz w:val="22"/>
        </w:rPr>
        <w:t xml:space="preserve">Key Concerns: </w:t>
      </w:r>
      <w:r>
        <w:rPr>
          <w:sz w:val="22"/>
        </w:rPr>
        <w:t>Data protection, access control granularity, encryption standards, audit logging, regulatory compliance (GDPR, HIPAA, SOC 2), and network security posture.</w:t>
      </w:r>
    </w:p>
    <w:p>
      <w:pPr>
        <w:pStyle w:val="ListParagraph"/>
        <w:numPr>
          <w:ilvl w:val="0"/>
          <w:numId w:val="1"/>
        </w:numPr>
      </w:pPr>
      <w:r>
        <w:rPr>
          <w:b/>
          <w:sz w:val="22"/>
        </w:rPr>
        <w:t xml:space="preserve">Primary Motivations: </w:t>
      </w:r>
      <w:r>
        <w:rPr>
          <w:sz w:val="22"/>
        </w:rPr>
        <w:t>Ensure security and compliance requirements are met without impeding business agility. Reduce security risk surface and maintain audit readiness.</w:t>
      </w:r>
    </w:p>
    <w:p>
      <w:pPr>
        <w:pStyle w:val="ListParagraph"/>
        <w:numPr>
          <w:ilvl w:val="0"/>
          <w:numId w:val="1"/>
        </w:numPr>
      </w:pPr>
      <w:r>
        <w:rPr>
          <w:b/>
          <w:sz w:val="22"/>
        </w:rPr>
        <w:t xml:space="preserve">Recommended Messaging Angle: </w:t>
      </w:r>
      <w:r>
        <w:rPr>
          <w:sz w:val="22"/>
        </w:rPr>
        <w:t>Emphasize Snowflake Horizon’s fine-grained access control, comprehensive audit logging, data lineage tracking, and compliance automation. Position Snowflake’s security architecture as a compliance accelerator rather than a compliance burden.</w:t>
      </w:r>
    </w:p>
    <w:p>
      <w:pPr>
        <w:pStyle w:val="ListParagraph"/>
        <w:numPr>
          <w:ilvl w:val="0"/>
          <w:numId w:val="1"/>
        </w:numPr>
      </w:pPr>
      <w:r>
        <w:rPr>
          <w:b/>
          <w:sz w:val="22"/>
        </w:rPr>
        <w:t xml:space="preserve">Lead Offering: </w:t>
      </w:r>
      <w:r>
        <w:rPr>
          <w:sz w:val="22"/>
        </w:rPr>
        <w:t>Autonomous Platform Operations (security monitoring, compliance automation) combined with Data Engineering (governance-embedded pipelines).</w:t>
      </w:r>
    </w:p>
    <w:p>
      <w:pPr>
        <w:pStyle w:val="ListParagraph"/>
        <w:numPr>
          <w:ilvl w:val="0"/>
          <w:numId w:val="1"/>
        </w:numPr>
      </w:pPr>
      <w:r>
        <w:rPr>
          <w:b/>
          <w:sz w:val="22"/>
        </w:rPr>
        <w:t xml:space="preserve">Key Metrics to Present: </w:t>
      </w:r>
      <w:r>
        <w:rPr>
          <w:sz w:val="22"/>
        </w:rPr>
        <w:t>99.9% SLA compliance, comprehensive audit trail, fine-grained access control via Snowflake Horizon, and automated compliance reporting for SOC 2, HIPAA, and GDPR.</w:t>
      </w:r>
    </w:p>
    <w:p>
      <w:pPr>
        <w:pStyle w:val="Heading2"/>
      </w:pPr>
      <w:r>
        <w:rPr>
          <w:color w:val="0F4761"/>
          <w:sz w:val="32"/>
        </w:rPr>
        <w:t>3.8 Procurement Messaging</w:t>
      </w:r>
    </w:p>
    <w:p>
      <w:pPr>
        <w:pStyle w:val="ListParagraph"/>
        <w:numPr>
          <w:ilvl w:val="0"/>
          <w:numId w:val="1"/>
        </w:numPr>
      </w:pPr>
      <w:r>
        <w:rPr>
          <w:b/>
          <w:sz w:val="22"/>
        </w:rPr>
        <w:t xml:space="preserve">Key Concerns: </w:t>
      </w:r>
      <w:r>
        <w:rPr>
          <w:sz w:val="22"/>
        </w:rPr>
        <w:t>Contract structure, pricing transparency, vendor risk, SLA commitments, liability terms, and competitive pricing validation.</w:t>
      </w:r>
    </w:p>
    <w:p>
      <w:pPr>
        <w:pStyle w:val="ListParagraph"/>
        <w:numPr>
          <w:ilvl w:val="0"/>
          <w:numId w:val="1"/>
        </w:numPr>
      </w:pPr>
      <w:r>
        <w:rPr>
          <w:b/>
          <w:sz w:val="22"/>
        </w:rPr>
        <w:t xml:space="preserve">Primary Motivations: </w:t>
      </w:r>
      <w:r>
        <w:rPr>
          <w:sz w:val="22"/>
        </w:rPr>
        <w:t>Secure favorable commercial terms, minimize vendor risk, ensure contract flexibility, and demonstrate procurement value through competitive pricing.</w:t>
      </w:r>
    </w:p>
    <w:p>
      <w:pPr>
        <w:pStyle w:val="ListParagraph"/>
        <w:numPr>
          <w:ilvl w:val="0"/>
          <w:numId w:val="1"/>
        </w:numPr>
      </w:pPr>
      <w:r>
        <w:rPr>
          <w:b/>
          <w:sz w:val="22"/>
        </w:rPr>
        <w:t xml:space="preserve">Recommended Messaging Angle: </w:t>
      </w:r>
      <w:r>
        <w:rPr>
          <w:sz w:val="22"/>
        </w:rPr>
        <w:t>Emphasize Mastech Digital’s flexible engagement models (fixed-price, T&amp;M, managed services), phased delivery approach that de-risks the investment, and Snowflake Elite Partner status that provides access to preferred pricing and support.</w:t>
      </w:r>
    </w:p>
    <w:p>
      <w:pPr>
        <w:pStyle w:val="ListParagraph"/>
        <w:numPr>
          <w:ilvl w:val="0"/>
          <w:numId w:val="1"/>
        </w:numPr>
      </w:pPr>
      <w:r>
        <w:rPr>
          <w:b/>
          <w:sz w:val="22"/>
        </w:rPr>
        <w:t xml:space="preserve">Lead Offering: </w:t>
      </w:r>
      <w:r>
        <w:rPr>
          <w:sz w:val="22"/>
        </w:rPr>
        <w:t>Phased implementation approach across all offerings, enabling incremental commitment and validated outcomes before expanding scope.</w:t>
      </w:r>
    </w:p>
    <w:p>
      <w:pPr>
        <w:pStyle w:val="ListParagraph"/>
        <w:numPr>
          <w:ilvl w:val="0"/>
          <w:numId w:val="1"/>
        </w:numPr>
      </w:pPr>
      <w:r>
        <w:rPr>
          <w:b/>
          <w:sz w:val="22"/>
        </w:rPr>
        <w:t xml:space="preserve">Key Metrics to Present: </w:t>
      </w:r>
      <w:r>
        <w:rPr>
          <w:sz w:val="22"/>
        </w:rPr>
        <w:t>Phased pricing structure, POV-validated business case, flexible engagement models, and Snowflake Elite Partner benefits including support and training access.</w:t>
      </w:r>
    </w:p>
    <w:p>
      <w:pPr>
        <w:pStyle w:val="Heading1"/>
      </w:pPr>
      <w:r>
        <w:rPr>
          <w:color w:val="0F4761"/>
          <w:sz w:val="40"/>
        </w:rPr>
        <w:t>4. Engagement Sequence</w:t>
      </w:r>
    </w:p>
    <w:p>
      <w:r>
        <w:rPr>
          <w:sz w:val="22"/>
        </w:rPr>
        <w:t>The order in which stakeholders are engaged significantly impacts deal velocity and outcome. Mastech Digital’s recommended engagement sequence follows a proven pattern that builds internal consensus systematically, from initial champion identification through procurement closure. Each stage creates the foundation for the next, building momentum toward a favorable decision.</w:t>
      </w:r>
    </w:p>
    <w:p>
      <w:r>
        <w:rPr>
          <w:sz w:val="22"/>
        </w:rPr>
        <w:t>The sequence is designed to ensure that technical validation precedes financial justification, and that executive sponsorship is secured before procurement engagement. This ordering minimizes the risk of premature commercial discussions that lack technical and business case support.</w:t>
      </w:r>
    </w:p>
    <w:p>
      <w:pPr>
        <w:pStyle w:val="Heading2"/>
      </w:pPr>
      <w:r>
        <w:rPr>
          <w:color w:val="0F4761"/>
          <w:sz w:val="32"/>
        </w:rPr>
        <w:t>4.1 Stage 1: Champion Identification &amp; Development</w:t>
      </w:r>
    </w:p>
    <w:p>
      <w:pPr>
        <w:pStyle w:val="ListParagraph"/>
        <w:numPr>
          <w:ilvl w:val="0"/>
          <w:numId w:val="1"/>
        </w:numPr>
      </w:pPr>
      <w:r>
        <w:rPr>
          <w:b/>
          <w:sz w:val="22"/>
        </w:rPr>
        <w:t xml:space="preserve">Target Stakeholders: </w:t>
      </w:r>
      <w:r>
        <w:rPr>
          <w:sz w:val="22"/>
        </w:rPr>
        <w:t>VP/Director of Data Engineering or VP/Director of Analytics — the most likely internal champions who experience the pain of current-state limitations daily.</w:t>
      </w:r>
    </w:p>
    <w:p>
      <w:pPr>
        <w:pStyle w:val="ListParagraph"/>
        <w:numPr>
          <w:ilvl w:val="0"/>
          <w:numId w:val="1"/>
        </w:numPr>
      </w:pPr>
      <w:r>
        <w:rPr>
          <w:b/>
          <w:sz w:val="22"/>
        </w:rPr>
        <w:t xml:space="preserve">Objective: </w:t>
      </w:r>
      <w:r>
        <w:rPr>
          <w:sz w:val="22"/>
        </w:rPr>
        <w:t>Identify, develop, and equip an internal champion who will advocate for the Snowflake solution and Mastech Digital partnership within the organization.</w:t>
      </w:r>
    </w:p>
    <w:p>
      <w:pPr>
        <w:pStyle w:val="ListParagraph"/>
        <w:numPr>
          <w:ilvl w:val="0"/>
          <w:numId w:val="1"/>
        </w:numPr>
      </w:pPr>
      <w:r>
        <w:rPr>
          <w:b/>
          <w:sz w:val="22"/>
        </w:rPr>
        <w:t xml:space="preserve">Key Activities: </w:t>
      </w:r>
      <w:r>
        <w:rPr>
          <w:sz w:val="22"/>
        </w:rPr>
        <w:t>Discovery sessions, pain point documentation, solution mapping, and champion enablement with messaging and materials they can use internally.</w:t>
      </w:r>
    </w:p>
    <w:p>
      <w:pPr>
        <w:pStyle w:val="Heading2"/>
      </w:pPr>
      <w:r>
        <w:rPr>
          <w:color w:val="0F4761"/>
          <w:sz w:val="32"/>
        </w:rPr>
        <w:t>4.2 Stage 2: Technical Validation</w:t>
      </w:r>
    </w:p>
    <w:p>
      <w:pPr>
        <w:pStyle w:val="ListParagraph"/>
        <w:numPr>
          <w:ilvl w:val="0"/>
          <w:numId w:val="1"/>
        </w:numPr>
      </w:pPr>
      <w:r>
        <w:rPr>
          <w:b/>
          <w:sz w:val="22"/>
        </w:rPr>
        <w:t xml:space="preserve">Target Stakeholders: </w:t>
      </w:r>
      <w:r>
        <w:rPr>
          <w:sz w:val="22"/>
        </w:rPr>
        <w:t>VP/Director of Data Engineering, Data Science, IT Security, and CTO (as architecture approver).</w:t>
      </w:r>
    </w:p>
    <w:p>
      <w:pPr>
        <w:pStyle w:val="ListParagraph"/>
        <w:numPr>
          <w:ilvl w:val="0"/>
          <w:numId w:val="1"/>
        </w:numPr>
      </w:pPr>
      <w:r>
        <w:rPr>
          <w:b/>
          <w:sz w:val="22"/>
        </w:rPr>
        <w:t xml:space="preserve">Objective: </w:t>
      </w:r>
      <w:r>
        <w:rPr>
          <w:sz w:val="22"/>
        </w:rPr>
        <w:t>Establish technical credibility and validate solution feasibility through detailed architecture reviews, reference implementations, and POV engagement.</w:t>
      </w:r>
    </w:p>
    <w:p>
      <w:pPr>
        <w:pStyle w:val="ListParagraph"/>
        <w:numPr>
          <w:ilvl w:val="0"/>
          <w:numId w:val="1"/>
        </w:numPr>
      </w:pPr>
      <w:r>
        <w:rPr>
          <w:b/>
          <w:sz w:val="22"/>
        </w:rPr>
        <w:t xml:space="preserve">Key Activities: </w:t>
      </w:r>
      <w:r>
        <w:rPr>
          <w:sz w:val="22"/>
        </w:rPr>
        <w:t>Architecture workshops, POV execution, security assessment, and technical reference customer introductions.</w:t>
      </w:r>
    </w:p>
    <w:p>
      <w:pPr>
        <w:pStyle w:val="Heading2"/>
      </w:pPr>
      <w:r>
        <w:rPr>
          <w:color w:val="0F4761"/>
          <w:sz w:val="32"/>
        </w:rPr>
        <w:t>4.3 Stage 3: Business Case Development</w:t>
      </w:r>
    </w:p>
    <w:p>
      <w:pPr>
        <w:pStyle w:val="ListParagraph"/>
        <w:numPr>
          <w:ilvl w:val="0"/>
          <w:numId w:val="1"/>
        </w:numPr>
      </w:pPr>
      <w:r>
        <w:rPr>
          <w:b/>
          <w:sz w:val="22"/>
        </w:rPr>
        <w:t xml:space="preserve">Target Stakeholders: </w:t>
      </w:r>
      <w:r>
        <w:rPr>
          <w:sz w:val="22"/>
        </w:rPr>
        <w:t>CFO, CDO, VP/Director of Analytics, and executive sponsor (CIO/CTO).</w:t>
      </w:r>
    </w:p>
    <w:p>
      <w:pPr>
        <w:pStyle w:val="ListParagraph"/>
        <w:numPr>
          <w:ilvl w:val="0"/>
          <w:numId w:val="1"/>
        </w:numPr>
      </w:pPr>
      <w:r>
        <w:rPr>
          <w:b/>
          <w:sz w:val="22"/>
        </w:rPr>
        <w:t xml:space="preserve">Objective: </w:t>
      </w:r>
      <w:r>
        <w:rPr>
          <w:sz w:val="22"/>
        </w:rPr>
        <w:t>Build a compelling, quantified business case that withstands CFO scrutiny and aligns with strategic investment priorities.</w:t>
      </w:r>
    </w:p>
    <w:p>
      <w:pPr>
        <w:pStyle w:val="ListParagraph"/>
        <w:numPr>
          <w:ilvl w:val="0"/>
          <w:numId w:val="1"/>
        </w:numPr>
      </w:pPr>
      <w:r>
        <w:rPr>
          <w:b/>
          <w:sz w:val="22"/>
        </w:rPr>
        <w:t xml:space="preserve">Key Activities: </w:t>
      </w:r>
      <w:r>
        <w:rPr>
          <w:sz w:val="22"/>
        </w:rPr>
        <w:t>TCO analysis, ROI modeling, business outcome mapping, competitive analysis, and executive business case presentation.</w:t>
      </w:r>
    </w:p>
    <w:p>
      <w:pPr>
        <w:pStyle w:val="Heading2"/>
      </w:pPr>
      <w:r>
        <w:rPr>
          <w:color w:val="0F4761"/>
          <w:sz w:val="32"/>
        </w:rPr>
        <w:t>4.4 Stage 4: Executive Sponsorship</w:t>
      </w:r>
    </w:p>
    <w:p>
      <w:pPr>
        <w:pStyle w:val="ListParagraph"/>
        <w:numPr>
          <w:ilvl w:val="0"/>
          <w:numId w:val="1"/>
        </w:numPr>
      </w:pPr>
      <w:r>
        <w:rPr>
          <w:b/>
          <w:sz w:val="22"/>
        </w:rPr>
        <w:t xml:space="preserve">Target Stakeholders: </w:t>
      </w:r>
      <w:r>
        <w:rPr>
          <w:sz w:val="22"/>
        </w:rPr>
        <w:t>CIO/CTO (primary executive sponsor) and CFO (financial approver).</w:t>
      </w:r>
    </w:p>
    <w:p>
      <w:pPr>
        <w:pStyle w:val="ListParagraph"/>
        <w:numPr>
          <w:ilvl w:val="0"/>
          <w:numId w:val="1"/>
        </w:numPr>
      </w:pPr>
      <w:r>
        <w:rPr>
          <w:b/>
          <w:sz w:val="22"/>
        </w:rPr>
        <w:t xml:space="preserve">Objective: </w:t>
      </w:r>
      <w:r>
        <w:rPr>
          <w:sz w:val="22"/>
        </w:rPr>
        <w:t>Secure formal executive sponsorship and budget commitment for the full implementation program.</w:t>
      </w:r>
    </w:p>
    <w:p>
      <w:pPr>
        <w:pStyle w:val="ListParagraph"/>
        <w:numPr>
          <w:ilvl w:val="0"/>
          <w:numId w:val="1"/>
        </w:numPr>
      </w:pPr>
      <w:r>
        <w:rPr>
          <w:b/>
          <w:sz w:val="22"/>
        </w:rPr>
        <w:t xml:space="preserve">Key Activities: </w:t>
      </w:r>
      <w:r>
        <w:rPr>
          <w:sz w:val="22"/>
        </w:rPr>
        <w:t>Executive briefing with POV results, reference customer executive calls, strategic roadmap alignment, and formal approval recommendation.</w:t>
      </w:r>
    </w:p>
    <w:p>
      <w:pPr>
        <w:pStyle w:val="Heading2"/>
      </w:pPr>
      <w:r>
        <w:rPr>
          <w:color w:val="0F4761"/>
          <w:sz w:val="32"/>
        </w:rPr>
        <w:t>4.5 Stage 5: Procurement &amp; Closure</w:t>
      </w:r>
    </w:p>
    <w:p>
      <w:pPr>
        <w:pStyle w:val="ListParagraph"/>
        <w:numPr>
          <w:ilvl w:val="0"/>
          <w:numId w:val="1"/>
        </w:numPr>
      </w:pPr>
      <w:r>
        <w:rPr>
          <w:b/>
          <w:sz w:val="22"/>
        </w:rPr>
        <w:t xml:space="preserve">Target Stakeholders: </w:t>
      </w:r>
      <w:r>
        <w:rPr>
          <w:sz w:val="22"/>
        </w:rPr>
        <w:t>Procurement, Legal, and Finance teams.</w:t>
      </w:r>
    </w:p>
    <w:p>
      <w:pPr>
        <w:pStyle w:val="ListParagraph"/>
        <w:numPr>
          <w:ilvl w:val="0"/>
          <w:numId w:val="1"/>
        </w:numPr>
      </w:pPr>
      <w:r>
        <w:rPr>
          <w:b/>
          <w:sz w:val="22"/>
        </w:rPr>
        <w:t xml:space="preserve">Objective: </w:t>
      </w:r>
      <w:r>
        <w:rPr>
          <w:sz w:val="22"/>
        </w:rPr>
        <w:t>Navigate contract negotiation, vendor onboarding, and commercial terms finalization to execute the engagement agreement.</w:t>
      </w:r>
    </w:p>
    <w:p>
      <w:pPr>
        <w:pStyle w:val="ListParagraph"/>
        <w:numPr>
          <w:ilvl w:val="0"/>
          <w:numId w:val="1"/>
        </w:numPr>
      </w:pPr>
      <w:r>
        <w:rPr>
          <w:b/>
          <w:sz w:val="22"/>
        </w:rPr>
        <w:t xml:space="preserve">Key Activities: </w:t>
      </w:r>
      <w:r>
        <w:rPr>
          <w:sz w:val="22"/>
        </w:rPr>
        <w:t>SOW development, MSA negotiation, pricing finalization, vendor qualification, and contract execution.</w:t>
      </w:r>
    </w:p>
    <w:p>
      <w:pPr>
        <w:pStyle w:val="Heading1"/>
      </w:pPr>
      <w:r>
        <w:rPr>
          <w:color w:val="0F4761"/>
          <w:sz w:val="40"/>
        </w:rPr>
        <w:t>5. Common Decision Process Stages</w:t>
      </w:r>
    </w:p>
    <w:p>
      <w:r>
        <w:rPr>
          <w:sz w:val="22"/>
        </w:rPr>
        <w:t>Understanding the typical enterprise decision process enables Mastech Digital’s sales teams to anticipate next steps, prepare appropriate materials, and proactively address stage-specific concerns. While every organization’s process is unique, the following stages represent the common decision process framework observed across enterprise data and AI platform investments.</w:t>
      </w:r>
    </w:p>
    <w:p>
      <w:pPr>
        <w:pStyle w:val="Heading2"/>
      </w:pPr>
      <w:r>
        <w:rPr>
          <w:color w:val="0F4761"/>
          <w:sz w:val="32"/>
        </w:rPr>
        <w:t>5.1 Discovery &amp; Requirement Gathering</w:t>
      </w:r>
    </w:p>
    <w:p>
      <w:r>
        <w:rPr>
          <w:sz w:val="22"/>
        </w:rPr>
        <w:t>The discovery phase focuses on understanding the client’s current state, pain points, strategic objectives, and technical requirements. This phase typically lasts 2–4 weeks and involves multiple stakeholder interviews, architecture reviews, and data landscape assessments.</w:t>
      </w:r>
    </w:p>
    <w:p>
      <w:pPr>
        <w:pStyle w:val="ListParagraph"/>
        <w:numPr>
          <w:ilvl w:val="0"/>
          <w:numId w:val="1"/>
        </w:numPr>
      </w:pPr>
      <w:r>
        <w:rPr>
          <w:b/>
          <w:sz w:val="22"/>
        </w:rPr>
        <w:t xml:space="preserve">Key Deliverables: </w:t>
      </w:r>
      <w:r>
        <w:rPr>
          <w:sz w:val="22"/>
        </w:rPr>
        <w:t>Current-state assessment, requirements document, solution architecture proposal, and preliminary scope and timeline estimate.</w:t>
      </w:r>
    </w:p>
    <w:p>
      <w:pPr>
        <w:pStyle w:val="ListParagraph"/>
        <w:numPr>
          <w:ilvl w:val="0"/>
          <w:numId w:val="1"/>
        </w:numPr>
      </w:pPr>
      <w:r>
        <w:rPr>
          <w:b/>
          <w:sz w:val="22"/>
        </w:rPr>
        <w:t xml:space="preserve">Critical Success Factors: </w:t>
      </w:r>
      <w:r>
        <w:rPr>
          <w:sz w:val="22"/>
        </w:rPr>
        <w:t>Broad stakeholder access, transparent information sharing, and executive-level alignment on strategic objectives and evaluation criteria.</w:t>
      </w:r>
    </w:p>
    <w:p>
      <w:pPr>
        <w:pStyle w:val="Heading2"/>
      </w:pPr>
      <w:r>
        <w:rPr>
          <w:color w:val="0F4761"/>
          <w:sz w:val="32"/>
        </w:rPr>
        <w:t>5.2 Technical Evaluation &amp; POV</w:t>
      </w:r>
    </w:p>
    <w:p>
      <w:r>
        <w:rPr>
          <w:sz w:val="22"/>
        </w:rPr>
        <w:t>The technical evaluation phase validates the proposed solution through hands-on testing, architecture reviews, and proof of value execution. This is typically the longest evaluation phase, spanning 4–8 weeks depending on POV scope and complexity.</w:t>
      </w:r>
    </w:p>
    <w:p>
      <w:pPr>
        <w:pStyle w:val="ListParagraph"/>
        <w:numPr>
          <w:ilvl w:val="0"/>
          <w:numId w:val="1"/>
        </w:numPr>
      </w:pPr>
      <w:r>
        <w:rPr>
          <w:b/>
          <w:sz w:val="22"/>
        </w:rPr>
        <w:t xml:space="preserve">Key Deliverables: </w:t>
      </w:r>
      <w:r>
        <w:rPr>
          <w:sz w:val="22"/>
        </w:rPr>
        <w:t>POV results report, architecture validation, performance benchmarks, security assessment, and technical recommendation from the evaluation team.</w:t>
      </w:r>
    </w:p>
    <w:p>
      <w:pPr>
        <w:pStyle w:val="ListParagraph"/>
        <w:numPr>
          <w:ilvl w:val="0"/>
          <w:numId w:val="1"/>
        </w:numPr>
      </w:pPr>
      <w:r>
        <w:rPr>
          <w:b/>
          <w:sz w:val="22"/>
        </w:rPr>
        <w:t xml:space="preserve">Critical Success Factors: </w:t>
      </w:r>
      <w:r>
        <w:rPr>
          <w:sz w:val="22"/>
        </w:rPr>
        <w:t>Dedicated client resources for POV participation, clear success criteria agreed upfront, and regular stakeholder communication throughout execution.</w:t>
      </w:r>
    </w:p>
    <w:p>
      <w:pPr>
        <w:pStyle w:val="Heading2"/>
      </w:pPr>
      <w:r>
        <w:rPr>
          <w:color w:val="0F4761"/>
          <w:sz w:val="32"/>
        </w:rPr>
        <w:t>5.3 Business Case Development</w:t>
      </w:r>
    </w:p>
    <w:p>
      <w:r>
        <w:rPr>
          <w:sz w:val="22"/>
        </w:rPr>
        <w:t>The business case phase translates POV results and technical validation into financial and strategic justification for the investment. This phase engages the CFO and executive sponsors and typically runs 2–3 weeks.</w:t>
      </w:r>
    </w:p>
    <w:p>
      <w:pPr>
        <w:pStyle w:val="ListParagraph"/>
        <w:numPr>
          <w:ilvl w:val="0"/>
          <w:numId w:val="1"/>
        </w:numPr>
      </w:pPr>
      <w:r>
        <w:rPr>
          <w:b/>
          <w:sz w:val="22"/>
        </w:rPr>
        <w:t xml:space="preserve">Key Deliverables: </w:t>
      </w:r>
      <w:r>
        <w:rPr>
          <w:sz w:val="22"/>
        </w:rPr>
        <w:t>Financial model (TCO, ROI, payback analysis), business outcome mapping, risk assessment, and executive presentation.</w:t>
      </w:r>
    </w:p>
    <w:p>
      <w:pPr>
        <w:pStyle w:val="ListParagraph"/>
        <w:numPr>
          <w:ilvl w:val="0"/>
          <w:numId w:val="1"/>
        </w:numPr>
      </w:pPr>
      <w:r>
        <w:rPr>
          <w:b/>
          <w:sz w:val="22"/>
        </w:rPr>
        <w:t xml:space="preserve">Critical Success Factors: </w:t>
      </w:r>
      <w:r>
        <w:rPr>
          <w:sz w:val="22"/>
        </w:rPr>
        <w:t>CFO engagement early in the process, validated data from POV execution, and competitive analysis that positions Mastech Digital favorably.</w:t>
      </w:r>
    </w:p>
    <w:p>
      <w:pPr>
        <w:pStyle w:val="Heading2"/>
      </w:pPr>
      <w:r>
        <w:rPr>
          <w:color w:val="0F4761"/>
          <w:sz w:val="32"/>
        </w:rPr>
        <w:t>5.4 Vendor Selection &amp; Negotiation</w:t>
      </w:r>
    </w:p>
    <w:p>
      <w:r>
        <w:rPr>
          <w:sz w:val="22"/>
        </w:rPr>
        <w:t>The vendor selection phase involves formal comparison of shortlisted vendors, commercial negotiations, and final recommendation to the decision-making body. This phase typically spans 2–4 weeks and involves procurement leadership.</w:t>
      </w:r>
    </w:p>
    <w:p>
      <w:pPr>
        <w:pStyle w:val="ListParagraph"/>
        <w:numPr>
          <w:ilvl w:val="0"/>
          <w:numId w:val="1"/>
        </w:numPr>
      </w:pPr>
      <w:r>
        <w:rPr>
          <w:b/>
          <w:sz w:val="22"/>
        </w:rPr>
        <w:t xml:space="preserve">Key Deliverables: </w:t>
      </w:r>
      <w:r>
        <w:rPr>
          <w:sz w:val="22"/>
        </w:rPr>
        <w:t>Vendor comparison matrix, commercial proposal, reference customer feedback, and formal selection recommendation.</w:t>
      </w:r>
    </w:p>
    <w:p>
      <w:pPr>
        <w:pStyle w:val="ListParagraph"/>
        <w:numPr>
          <w:ilvl w:val="0"/>
          <w:numId w:val="1"/>
        </w:numPr>
      </w:pPr>
      <w:r>
        <w:rPr>
          <w:b/>
          <w:sz w:val="22"/>
        </w:rPr>
        <w:t xml:space="preserve">Critical Success Factors: </w:t>
      </w:r>
      <w:r>
        <w:rPr>
          <w:sz w:val="22"/>
        </w:rPr>
        <w:t>Differentiated value proposition, competitive pricing, strong reference customers, and responsive engagement during negotiation.</w:t>
      </w:r>
    </w:p>
    <w:p>
      <w:pPr>
        <w:pStyle w:val="Heading2"/>
      </w:pPr>
      <w:r>
        <w:rPr>
          <w:color w:val="0F4761"/>
          <w:sz w:val="32"/>
        </w:rPr>
        <w:t>5.5 Contract &amp; Procurement</w:t>
      </w:r>
    </w:p>
    <w:p>
      <w:r>
        <w:rPr>
          <w:sz w:val="22"/>
        </w:rPr>
        <w:t>The contract and procurement phase finalizes commercial terms, legal agreements, and vendor onboarding. This phase can range from 2 weeks to 3 months depending on organizational procurement complexity and legal review requirements.</w:t>
      </w:r>
    </w:p>
    <w:p>
      <w:pPr>
        <w:pStyle w:val="ListParagraph"/>
        <w:numPr>
          <w:ilvl w:val="0"/>
          <w:numId w:val="1"/>
        </w:numPr>
      </w:pPr>
      <w:r>
        <w:rPr>
          <w:b/>
          <w:sz w:val="22"/>
        </w:rPr>
        <w:t xml:space="preserve">Key Deliverables: </w:t>
      </w:r>
      <w:r>
        <w:rPr>
          <w:sz w:val="22"/>
        </w:rPr>
        <w:t>Executed MSA and SOW, vendor onboarding completion, project kickoff scheduling, and resource mobilization plan.</w:t>
      </w:r>
    </w:p>
    <w:p>
      <w:pPr>
        <w:pStyle w:val="ListParagraph"/>
        <w:numPr>
          <w:ilvl w:val="0"/>
          <w:numId w:val="1"/>
        </w:numPr>
      </w:pPr>
      <w:r>
        <w:rPr>
          <w:b/>
          <w:sz w:val="22"/>
        </w:rPr>
        <w:t xml:space="preserve">Critical Success Factors: </w:t>
      </w:r>
      <w:r>
        <w:rPr>
          <w:sz w:val="22"/>
        </w:rPr>
        <w:t>Proactive legal and compliance documentation, flexible contract structures, and pre-negotiated terms that accelerate execution.</w:t>
      </w:r>
    </w:p>
    <w:p>
      <w:pPr>
        <w:pStyle w:val="Heading1"/>
      </w:pPr>
      <w:r>
        <w:rPr>
          <w:color w:val="0F4761"/>
          <w:sz w:val="40"/>
        </w:rPr>
        <w:t>6. Accelerating the Decision</w:t>
      </w:r>
    </w:p>
    <w:p>
      <w:r>
        <w:rPr>
          <w:sz w:val="22"/>
        </w:rPr>
        <w:t>Compressing the enterprise sales cycle requires deliberate tactics that address the root causes of decision delay: uncertainty, internal misalignment, and process complexity. Mastech Digital employs a set of proven acceleration strategies that reduce cycle time by 20–30% while maintaining deal quality and stakeholder confidence.</w:t>
      </w:r>
    </w:p>
    <w:p>
      <w:pPr>
        <w:pStyle w:val="Heading2"/>
      </w:pPr>
      <w:r>
        <w:rPr>
          <w:color w:val="0F4761"/>
          <w:sz w:val="32"/>
        </w:rPr>
        <w:t>6.1 POV as Decision Accelerator</w:t>
      </w:r>
    </w:p>
    <w:p>
      <w:r>
        <w:rPr>
          <w:sz w:val="22"/>
        </w:rPr>
        <w:t>The Proof of Value engagement is the most powerful tool for accelerating the decision process. By delivering tangible results within 4–6 weeks, the POV addresses uncertainty about technical feasibility, partner capability, and business case validity simultaneously. The POV also creates organizational momentum and emotional investment in the solution.</w:t>
      </w:r>
    </w:p>
    <w:p>
      <w:pPr>
        <w:pStyle w:val="ListParagraph"/>
        <w:numPr>
          <w:ilvl w:val="0"/>
          <w:numId w:val="1"/>
        </w:numPr>
      </w:pPr>
      <w:r>
        <w:rPr>
          <w:b/>
          <w:sz w:val="22"/>
        </w:rPr>
        <w:t xml:space="preserve">Offer POV Early in the Engagement: </w:t>
      </w:r>
      <w:r>
        <w:rPr>
          <w:sz w:val="22"/>
        </w:rPr>
        <w:t>Position the POV as a risk-free validation mechanism rather than a late-stage evaluation gate. Early POV engagement compresses the technical evaluation timeline and builds champion confidence.</w:t>
      </w:r>
    </w:p>
    <w:p>
      <w:pPr>
        <w:pStyle w:val="ListParagraph"/>
        <w:numPr>
          <w:ilvl w:val="0"/>
          <w:numId w:val="1"/>
        </w:numPr>
      </w:pPr>
      <w:r>
        <w:rPr>
          <w:b/>
          <w:sz w:val="22"/>
        </w:rPr>
        <w:t xml:space="preserve">Align POV to Decision Criteria: </w:t>
      </w:r>
      <w:r>
        <w:rPr>
          <w:sz w:val="22"/>
        </w:rPr>
        <w:t>Structure the POV scope to directly address the specific decision criteria defined by the buying committee, ensuring that POV results map directly to approval requirements.</w:t>
      </w:r>
    </w:p>
    <w:p>
      <w:pPr>
        <w:pStyle w:val="Heading2"/>
      </w:pPr>
      <w:r>
        <w:rPr>
          <w:color w:val="0F4761"/>
          <w:sz w:val="32"/>
        </w:rPr>
        <w:t>6.2 Reference Customer Engagement</w:t>
      </w:r>
    </w:p>
    <w:p>
      <w:r>
        <w:rPr>
          <w:sz w:val="22"/>
        </w:rPr>
        <w:t>Reference customer introductions provide social proof and third-party validation that reduces perceived risk. Mastech Digital maintains a curated network of reference clients across industries and offering areas.</w:t>
      </w:r>
    </w:p>
    <w:p>
      <w:pPr>
        <w:pStyle w:val="ListParagraph"/>
        <w:numPr>
          <w:ilvl w:val="0"/>
          <w:numId w:val="1"/>
        </w:numPr>
      </w:pPr>
      <w:r>
        <w:rPr>
          <w:b/>
          <w:sz w:val="22"/>
        </w:rPr>
        <w:t xml:space="preserve">Industry-Specific References: </w:t>
      </w:r>
      <w:r>
        <w:rPr>
          <w:sz w:val="22"/>
        </w:rPr>
        <w:t>Match reference customers by industry, company size, and use case to maximize relevance and credibility with the prospect’s buying committee.</w:t>
      </w:r>
    </w:p>
    <w:p>
      <w:pPr>
        <w:pStyle w:val="ListParagraph"/>
        <w:numPr>
          <w:ilvl w:val="0"/>
          <w:numId w:val="1"/>
        </w:numPr>
      </w:pPr>
      <w:r>
        <w:rPr>
          <w:b/>
          <w:sz w:val="22"/>
        </w:rPr>
        <w:t xml:space="preserve">Executive-to-Executive Connections: </w:t>
      </w:r>
      <w:r>
        <w:rPr>
          <w:sz w:val="22"/>
        </w:rPr>
        <w:t>Facilitate peer conversations between the prospect’s decision makers and reference client executives who have successfully completed similar transformations.</w:t>
      </w:r>
    </w:p>
    <w:p>
      <w:pPr>
        <w:pStyle w:val="Heading2"/>
      </w:pPr>
      <w:r>
        <w:rPr>
          <w:color w:val="0F4761"/>
          <w:sz w:val="32"/>
        </w:rPr>
        <w:t>6.3 Risk Mitigation Strategies</w:t>
      </w:r>
    </w:p>
    <w:p>
      <w:r>
        <w:rPr>
          <w:sz w:val="22"/>
        </w:rPr>
        <w:t>Addressing risk concerns proactively eliminates common sources of decision delay. Mastech Digital’s phased delivery model inherently de-risks the investment by enabling incremental commitment with validated outcomes at each phase gate.</w:t>
      </w:r>
    </w:p>
    <w:p>
      <w:pPr>
        <w:pStyle w:val="ListParagraph"/>
        <w:numPr>
          <w:ilvl w:val="0"/>
          <w:numId w:val="1"/>
        </w:numPr>
      </w:pPr>
      <w:r>
        <w:rPr>
          <w:b/>
          <w:sz w:val="22"/>
        </w:rPr>
        <w:t xml:space="preserve">Phased Investment Approach: </w:t>
      </w:r>
      <w:r>
        <w:rPr>
          <w:sz w:val="22"/>
        </w:rPr>
        <w:t>Structure the engagement as a series of funded phases with go/no-go gates, enabling the client to validate value before committing to subsequent phases.</w:t>
      </w:r>
    </w:p>
    <w:p>
      <w:pPr>
        <w:pStyle w:val="ListParagraph"/>
        <w:numPr>
          <w:ilvl w:val="0"/>
          <w:numId w:val="1"/>
        </w:numPr>
      </w:pPr>
      <w:r>
        <w:rPr>
          <w:b/>
          <w:sz w:val="22"/>
        </w:rPr>
        <w:t xml:space="preserve">Shared-Risk Pricing Models: </w:t>
      </w:r>
      <w:r>
        <w:rPr>
          <w:sz w:val="22"/>
        </w:rPr>
        <w:t>Offer outcome-based pricing components that align Mastech Digital’s compensation with client value realization, demonstrating confidence in delivery capabilities.</w:t>
      </w:r>
    </w:p>
    <w:p>
      <w:pPr>
        <w:pStyle w:val="ListParagraph"/>
        <w:numPr>
          <w:ilvl w:val="0"/>
          <w:numId w:val="1"/>
        </w:numPr>
      </w:pPr>
      <w:r>
        <w:rPr>
          <w:b/>
          <w:sz w:val="22"/>
        </w:rPr>
        <w:t xml:space="preserve">Accelerated Procurement Support: </w:t>
      </w:r>
      <w:r>
        <w:rPr>
          <w:sz w:val="22"/>
        </w:rPr>
        <w:t>Provide pre-negotiated contract templates, compliance documentation packages, and vendor qualification materials that compress the procurement timeline.</w:t>
      </w:r>
    </w:p>
    <w:p>
      <w:pPr>
        <w:pStyle w:val="Heading1"/>
      </w:pPr>
      <w:r>
        <w:rPr>
          <w:color w:val="0F4761"/>
          <w:sz w:val="40"/>
        </w:rPr>
        <w:t>7. Conclusion</w:t>
      </w:r>
    </w:p>
    <w:p>
      <w:r>
        <w:rPr>
          <w:sz w:val="22"/>
        </w:rPr>
        <w:t>Navigating the enterprise buying committee for data and AI transformation requires a systematic, stakeholder-by-stakeholder approach that delivers targeted value messaging aligned to individual concerns and motivations. By mapping the buying committee, tailoring engagement by role, and following the recommended engagement sequence, Mastech Digital’s sales teams can build broad-based consensus that accelerates the decision process.</w:t>
      </w:r>
    </w:p>
    <w:p>
      <w:r>
        <w:rPr>
          <w:sz w:val="22"/>
        </w:rPr>
        <w:t>The combination of stakeholder-specific messaging, structured POV engagements, reference customer validation, and risk mitigation strategies creates a comprehensive approach to deal acceleration. When executed systematically, this framework enables Mastech Digital to compress complex enterprise sales cycles by 20–30%, achieve higher win rates through multi-threaded stakeholder engagement, and build durable competitive advantages that extend well beyond the initial deal.</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jc w:val="left"/>
    </w:pPr>
    <w:r>
      <w:rPr>
        <w:color w:val="595959"/>
        <w:sz w:val="18"/>
      </w:rPr>
      <w:t>Intended for internal use and client delivery</w:t>
    </w:r>
    <w:r>
      <w:rPr>
        <w:sz w:val="18"/>
      </w:rPr>
      <w:tab/>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