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566938"/>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705DD6D" w14:textId="357B6BC0" w:rsidR="00F23A82" w:rsidRDefault="00F23A82" w:rsidP="00C53205">
          <w:pPr>
            <w:pStyle w:val="TOCHeading"/>
            <w:jc w:val="center"/>
          </w:pPr>
          <w:r>
            <w:t>Table of Contents</w:t>
          </w:r>
        </w:p>
        <w:p w14:paraId="085EF067" w14:textId="5C921B98" w:rsidR="00544C4C" w:rsidRDefault="00F23A82">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7020" w:history="1">
            <w:r w:rsidR="00544C4C" w:rsidRPr="00B04565">
              <w:rPr>
                <w:rStyle w:val="Hyperlink"/>
                <w:rFonts w:eastAsia="Times New Roman"/>
                <w:noProof/>
                <w:lang w:eastAsia="en-IN"/>
              </w:rPr>
              <w:t>1.</w:t>
            </w:r>
            <w:r w:rsidR="00544C4C">
              <w:rPr>
                <w:rFonts w:eastAsiaTheme="minorEastAsia"/>
                <w:noProof/>
                <w:lang w:eastAsia="en-IN"/>
              </w:rPr>
              <w:tab/>
            </w:r>
            <w:r w:rsidR="00544C4C" w:rsidRPr="00B04565">
              <w:rPr>
                <w:rStyle w:val="Hyperlink"/>
                <w:rFonts w:eastAsia="Times New Roman"/>
                <w:noProof/>
                <w:lang w:eastAsia="en-IN"/>
              </w:rPr>
              <w:t>Executive Summary</w:t>
            </w:r>
            <w:r w:rsidR="00544C4C">
              <w:rPr>
                <w:noProof/>
                <w:webHidden/>
              </w:rPr>
              <w:tab/>
            </w:r>
            <w:r w:rsidR="00544C4C">
              <w:rPr>
                <w:noProof/>
                <w:webHidden/>
              </w:rPr>
              <w:fldChar w:fldCharType="begin"/>
            </w:r>
            <w:r w:rsidR="00544C4C">
              <w:rPr>
                <w:noProof/>
                <w:webHidden/>
              </w:rPr>
              <w:instrText xml:space="preserve"> PAGEREF _Toc221457020 \h </w:instrText>
            </w:r>
            <w:r w:rsidR="00544C4C">
              <w:rPr>
                <w:noProof/>
                <w:webHidden/>
              </w:rPr>
            </w:r>
            <w:r w:rsidR="00544C4C">
              <w:rPr>
                <w:noProof/>
                <w:webHidden/>
              </w:rPr>
              <w:fldChar w:fldCharType="separate"/>
            </w:r>
            <w:r w:rsidR="00544C4C">
              <w:rPr>
                <w:noProof/>
                <w:webHidden/>
              </w:rPr>
              <w:t>4</w:t>
            </w:r>
            <w:r w:rsidR="00544C4C">
              <w:rPr>
                <w:noProof/>
                <w:webHidden/>
              </w:rPr>
              <w:fldChar w:fldCharType="end"/>
            </w:r>
          </w:hyperlink>
        </w:p>
        <w:p w14:paraId="3D3951D8" w14:textId="7358D7F0" w:rsidR="00544C4C" w:rsidRDefault="00544C4C">
          <w:pPr>
            <w:pStyle w:val="TOC2"/>
            <w:tabs>
              <w:tab w:val="left" w:pos="960"/>
              <w:tab w:val="right" w:leader="dot" w:pos="9016"/>
            </w:tabs>
            <w:rPr>
              <w:rFonts w:eastAsiaTheme="minorEastAsia"/>
              <w:noProof/>
              <w:lang w:eastAsia="en-IN"/>
            </w:rPr>
          </w:pPr>
          <w:hyperlink w:anchor="_Toc221457021" w:history="1">
            <w:r w:rsidRPr="00B04565">
              <w:rPr>
                <w:rStyle w:val="Hyperlink"/>
                <w:rFonts w:eastAsia="Times New Roman"/>
                <w:noProof/>
                <w:lang w:eastAsia="en-IN"/>
              </w:rPr>
              <w:t>1.1</w:t>
            </w:r>
            <w:r>
              <w:rPr>
                <w:rFonts w:eastAsiaTheme="minorEastAsia"/>
                <w:noProof/>
                <w:lang w:eastAsia="en-IN"/>
              </w:rPr>
              <w:tab/>
            </w:r>
            <w:r w:rsidRPr="00B04565">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_Toc221457021 \h </w:instrText>
            </w:r>
            <w:r>
              <w:rPr>
                <w:noProof/>
                <w:webHidden/>
              </w:rPr>
            </w:r>
            <w:r>
              <w:rPr>
                <w:noProof/>
                <w:webHidden/>
              </w:rPr>
              <w:fldChar w:fldCharType="separate"/>
            </w:r>
            <w:r>
              <w:rPr>
                <w:noProof/>
                <w:webHidden/>
              </w:rPr>
              <w:t>4</w:t>
            </w:r>
            <w:r>
              <w:rPr>
                <w:noProof/>
                <w:webHidden/>
              </w:rPr>
              <w:fldChar w:fldCharType="end"/>
            </w:r>
          </w:hyperlink>
        </w:p>
        <w:p w14:paraId="5B05AEAC" w14:textId="4D62423C" w:rsidR="00544C4C" w:rsidRDefault="00544C4C">
          <w:pPr>
            <w:pStyle w:val="TOC2"/>
            <w:tabs>
              <w:tab w:val="left" w:pos="960"/>
              <w:tab w:val="right" w:leader="dot" w:pos="9016"/>
            </w:tabs>
            <w:rPr>
              <w:rFonts w:eastAsiaTheme="minorEastAsia"/>
              <w:noProof/>
              <w:lang w:eastAsia="en-IN"/>
            </w:rPr>
          </w:pPr>
          <w:hyperlink w:anchor="_Toc221457022" w:history="1">
            <w:r w:rsidRPr="00B04565">
              <w:rPr>
                <w:rStyle w:val="Hyperlink"/>
                <w:rFonts w:eastAsia="Times New Roman"/>
                <w:noProof/>
                <w:lang w:eastAsia="en-IN"/>
              </w:rPr>
              <w:t>1.2</w:t>
            </w:r>
            <w:r>
              <w:rPr>
                <w:rFonts w:eastAsiaTheme="minorEastAsia"/>
                <w:noProof/>
                <w:lang w:eastAsia="en-IN"/>
              </w:rPr>
              <w:tab/>
            </w:r>
            <w:r w:rsidRPr="00B04565">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_Toc221457022 \h </w:instrText>
            </w:r>
            <w:r>
              <w:rPr>
                <w:noProof/>
                <w:webHidden/>
              </w:rPr>
            </w:r>
            <w:r>
              <w:rPr>
                <w:noProof/>
                <w:webHidden/>
              </w:rPr>
              <w:fldChar w:fldCharType="separate"/>
            </w:r>
            <w:r>
              <w:rPr>
                <w:noProof/>
                <w:webHidden/>
              </w:rPr>
              <w:t>4</w:t>
            </w:r>
            <w:r>
              <w:rPr>
                <w:noProof/>
                <w:webHidden/>
              </w:rPr>
              <w:fldChar w:fldCharType="end"/>
            </w:r>
          </w:hyperlink>
        </w:p>
        <w:p w14:paraId="040AE936" w14:textId="3BF4FF58" w:rsidR="00544C4C" w:rsidRDefault="00544C4C">
          <w:pPr>
            <w:pStyle w:val="TOC2"/>
            <w:tabs>
              <w:tab w:val="left" w:pos="960"/>
              <w:tab w:val="right" w:leader="dot" w:pos="9016"/>
            </w:tabs>
            <w:rPr>
              <w:rFonts w:eastAsiaTheme="minorEastAsia"/>
              <w:noProof/>
              <w:lang w:eastAsia="en-IN"/>
            </w:rPr>
          </w:pPr>
          <w:hyperlink w:anchor="_Toc221457023" w:history="1">
            <w:r w:rsidRPr="00B04565">
              <w:rPr>
                <w:rStyle w:val="Hyperlink"/>
                <w:rFonts w:eastAsia="Times New Roman"/>
                <w:noProof/>
                <w:lang w:eastAsia="en-IN"/>
              </w:rPr>
              <w:t>1.3</w:t>
            </w:r>
            <w:r>
              <w:rPr>
                <w:rFonts w:eastAsiaTheme="minorEastAsia"/>
                <w:noProof/>
                <w:lang w:eastAsia="en-IN"/>
              </w:rPr>
              <w:tab/>
            </w:r>
            <w:r w:rsidRPr="00B04565">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_Toc221457023 \h </w:instrText>
            </w:r>
            <w:r>
              <w:rPr>
                <w:noProof/>
                <w:webHidden/>
              </w:rPr>
            </w:r>
            <w:r>
              <w:rPr>
                <w:noProof/>
                <w:webHidden/>
              </w:rPr>
              <w:fldChar w:fldCharType="separate"/>
            </w:r>
            <w:r>
              <w:rPr>
                <w:noProof/>
                <w:webHidden/>
              </w:rPr>
              <w:t>5</w:t>
            </w:r>
            <w:r>
              <w:rPr>
                <w:noProof/>
                <w:webHidden/>
              </w:rPr>
              <w:fldChar w:fldCharType="end"/>
            </w:r>
          </w:hyperlink>
        </w:p>
        <w:p w14:paraId="31A15F3C" w14:textId="031B0F75" w:rsidR="00544C4C" w:rsidRDefault="00544C4C">
          <w:pPr>
            <w:pStyle w:val="TOC2"/>
            <w:tabs>
              <w:tab w:val="left" w:pos="960"/>
              <w:tab w:val="right" w:leader="dot" w:pos="9016"/>
            </w:tabs>
            <w:rPr>
              <w:rFonts w:eastAsiaTheme="minorEastAsia"/>
              <w:noProof/>
              <w:lang w:eastAsia="en-IN"/>
            </w:rPr>
          </w:pPr>
          <w:hyperlink w:anchor="_Toc221457024" w:history="1">
            <w:r w:rsidRPr="00B04565">
              <w:rPr>
                <w:rStyle w:val="Hyperlink"/>
                <w:rFonts w:eastAsia="Times New Roman"/>
                <w:noProof/>
                <w:lang w:eastAsia="en-IN"/>
              </w:rPr>
              <w:t>1.4</w:t>
            </w:r>
            <w:r>
              <w:rPr>
                <w:rFonts w:eastAsiaTheme="minorEastAsia"/>
                <w:noProof/>
                <w:lang w:eastAsia="en-IN"/>
              </w:rPr>
              <w:tab/>
            </w:r>
            <w:r w:rsidRPr="00B04565">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_Toc221457024 \h </w:instrText>
            </w:r>
            <w:r>
              <w:rPr>
                <w:noProof/>
                <w:webHidden/>
              </w:rPr>
            </w:r>
            <w:r>
              <w:rPr>
                <w:noProof/>
                <w:webHidden/>
              </w:rPr>
              <w:fldChar w:fldCharType="separate"/>
            </w:r>
            <w:r>
              <w:rPr>
                <w:noProof/>
                <w:webHidden/>
              </w:rPr>
              <w:t>5</w:t>
            </w:r>
            <w:r>
              <w:rPr>
                <w:noProof/>
                <w:webHidden/>
              </w:rPr>
              <w:fldChar w:fldCharType="end"/>
            </w:r>
          </w:hyperlink>
        </w:p>
        <w:p w14:paraId="16CF577E" w14:textId="0BB216D6" w:rsidR="00544C4C" w:rsidRDefault="00544C4C">
          <w:pPr>
            <w:pStyle w:val="TOC1"/>
            <w:tabs>
              <w:tab w:val="left" w:pos="480"/>
              <w:tab w:val="right" w:leader="dot" w:pos="9016"/>
            </w:tabs>
            <w:rPr>
              <w:rFonts w:eastAsiaTheme="minorEastAsia"/>
              <w:noProof/>
              <w:lang w:eastAsia="en-IN"/>
            </w:rPr>
          </w:pPr>
          <w:hyperlink w:anchor="_Toc221457025" w:history="1">
            <w:r w:rsidRPr="00B04565">
              <w:rPr>
                <w:rStyle w:val="Hyperlink"/>
                <w:rFonts w:eastAsia="Times New Roman"/>
                <w:noProof/>
                <w:lang w:eastAsia="en-IN"/>
              </w:rPr>
              <w:t>2.</w:t>
            </w:r>
            <w:r>
              <w:rPr>
                <w:rFonts w:eastAsiaTheme="minorEastAsia"/>
                <w:noProof/>
                <w:lang w:eastAsia="en-IN"/>
              </w:rPr>
              <w:tab/>
            </w:r>
            <w:r w:rsidRPr="00B04565">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_Toc221457025 \h </w:instrText>
            </w:r>
            <w:r>
              <w:rPr>
                <w:noProof/>
                <w:webHidden/>
              </w:rPr>
            </w:r>
            <w:r>
              <w:rPr>
                <w:noProof/>
                <w:webHidden/>
              </w:rPr>
              <w:fldChar w:fldCharType="separate"/>
            </w:r>
            <w:r>
              <w:rPr>
                <w:noProof/>
                <w:webHidden/>
              </w:rPr>
              <w:t>5</w:t>
            </w:r>
            <w:r>
              <w:rPr>
                <w:noProof/>
                <w:webHidden/>
              </w:rPr>
              <w:fldChar w:fldCharType="end"/>
            </w:r>
          </w:hyperlink>
        </w:p>
        <w:p w14:paraId="2B5C3652" w14:textId="35A4AA9E" w:rsidR="00544C4C" w:rsidRDefault="00544C4C">
          <w:pPr>
            <w:pStyle w:val="TOC2"/>
            <w:tabs>
              <w:tab w:val="left" w:pos="960"/>
              <w:tab w:val="right" w:leader="dot" w:pos="9016"/>
            </w:tabs>
            <w:rPr>
              <w:rFonts w:eastAsiaTheme="minorEastAsia"/>
              <w:noProof/>
              <w:lang w:eastAsia="en-IN"/>
            </w:rPr>
          </w:pPr>
          <w:hyperlink w:anchor="_Toc221457026" w:history="1">
            <w:r w:rsidRPr="00B04565">
              <w:rPr>
                <w:rStyle w:val="Hyperlink"/>
                <w:rFonts w:eastAsia="Times New Roman"/>
                <w:noProof/>
                <w:lang w:eastAsia="en-IN"/>
              </w:rPr>
              <w:t>2.1</w:t>
            </w:r>
            <w:r>
              <w:rPr>
                <w:rFonts w:eastAsiaTheme="minorEastAsia"/>
                <w:noProof/>
                <w:lang w:eastAsia="en-IN"/>
              </w:rPr>
              <w:tab/>
            </w:r>
            <w:r w:rsidRPr="00B04565">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_Toc221457026 \h </w:instrText>
            </w:r>
            <w:r>
              <w:rPr>
                <w:noProof/>
                <w:webHidden/>
              </w:rPr>
            </w:r>
            <w:r>
              <w:rPr>
                <w:noProof/>
                <w:webHidden/>
              </w:rPr>
              <w:fldChar w:fldCharType="separate"/>
            </w:r>
            <w:r>
              <w:rPr>
                <w:noProof/>
                <w:webHidden/>
              </w:rPr>
              <w:t>5</w:t>
            </w:r>
            <w:r>
              <w:rPr>
                <w:noProof/>
                <w:webHidden/>
              </w:rPr>
              <w:fldChar w:fldCharType="end"/>
            </w:r>
          </w:hyperlink>
        </w:p>
        <w:p w14:paraId="0B9CAE73" w14:textId="65D221A1" w:rsidR="00544C4C" w:rsidRDefault="00544C4C">
          <w:pPr>
            <w:pStyle w:val="TOC2"/>
            <w:tabs>
              <w:tab w:val="left" w:pos="960"/>
              <w:tab w:val="right" w:leader="dot" w:pos="9016"/>
            </w:tabs>
            <w:rPr>
              <w:rFonts w:eastAsiaTheme="minorEastAsia"/>
              <w:noProof/>
              <w:lang w:eastAsia="en-IN"/>
            </w:rPr>
          </w:pPr>
          <w:hyperlink w:anchor="_Toc221457027" w:history="1">
            <w:r w:rsidRPr="00B04565">
              <w:rPr>
                <w:rStyle w:val="Hyperlink"/>
                <w:rFonts w:eastAsia="Times New Roman"/>
                <w:noProof/>
                <w:lang w:eastAsia="en-IN"/>
              </w:rPr>
              <w:t>2.2</w:t>
            </w:r>
            <w:r>
              <w:rPr>
                <w:rFonts w:eastAsiaTheme="minorEastAsia"/>
                <w:noProof/>
                <w:lang w:eastAsia="en-IN"/>
              </w:rPr>
              <w:tab/>
            </w:r>
            <w:r w:rsidRPr="00B04565">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_Toc221457027 \h </w:instrText>
            </w:r>
            <w:r>
              <w:rPr>
                <w:noProof/>
                <w:webHidden/>
              </w:rPr>
            </w:r>
            <w:r>
              <w:rPr>
                <w:noProof/>
                <w:webHidden/>
              </w:rPr>
              <w:fldChar w:fldCharType="separate"/>
            </w:r>
            <w:r>
              <w:rPr>
                <w:noProof/>
                <w:webHidden/>
              </w:rPr>
              <w:t>6</w:t>
            </w:r>
            <w:r>
              <w:rPr>
                <w:noProof/>
                <w:webHidden/>
              </w:rPr>
              <w:fldChar w:fldCharType="end"/>
            </w:r>
          </w:hyperlink>
        </w:p>
        <w:p w14:paraId="14DD3045" w14:textId="293954F7" w:rsidR="00544C4C" w:rsidRDefault="00544C4C">
          <w:pPr>
            <w:pStyle w:val="TOC1"/>
            <w:tabs>
              <w:tab w:val="left" w:pos="480"/>
              <w:tab w:val="right" w:leader="dot" w:pos="9016"/>
            </w:tabs>
            <w:rPr>
              <w:rFonts w:eastAsiaTheme="minorEastAsia"/>
              <w:noProof/>
              <w:lang w:eastAsia="en-IN"/>
            </w:rPr>
          </w:pPr>
          <w:hyperlink w:anchor="_Toc221457028" w:history="1">
            <w:r w:rsidRPr="00B04565">
              <w:rPr>
                <w:rStyle w:val="Hyperlink"/>
                <w:noProof/>
              </w:rPr>
              <w:t>3.</w:t>
            </w:r>
            <w:r>
              <w:rPr>
                <w:rFonts w:eastAsiaTheme="minorEastAsia"/>
                <w:noProof/>
                <w:lang w:eastAsia="en-IN"/>
              </w:rPr>
              <w:tab/>
            </w:r>
            <w:r w:rsidRPr="00B04565">
              <w:rPr>
                <w:rStyle w:val="Hyperlink"/>
                <w:rFonts w:eastAsia="Times New Roman"/>
                <w:noProof/>
                <w:lang w:eastAsia="en-IN"/>
              </w:rPr>
              <w:t>The Solution – AI-Native Platform Modernization</w:t>
            </w:r>
            <w:r>
              <w:rPr>
                <w:noProof/>
                <w:webHidden/>
              </w:rPr>
              <w:tab/>
            </w:r>
            <w:r>
              <w:rPr>
                <w:noProof/>
                <w:webHidden/>
              </w:rPr>
              <w:fldChar w:fldCharType="begin"/>
            </w:r>
            <w:r>
              <w:rPr>
                <w:noProof/>
                <w:webHidden/>
              </w:rPr>
              <w:instrText xml:space="preserve"> PAGEREF _Toc221457028 \h </w:instrText>
            </w:r>
            <w:r>
              <w:rPr>
                <w:noProof/>
                <w:webHidden/>
              </w:rPr>
            </w:r>
            <w:r>
              <w:rPr>
                <w:noProof/>
                <w:webHidden/>
              </w:rPr>
              <w:fldChar w:fldCharType="separate"/>
            </w:r>
            <w:r>
              <w:rPr>
                <w:noProof/>
                <w:webHidden/>
              </w:rPr>
              <w:t>6</w:t>
            </w:r>
            <w:r>
              <w:rPr>
                <w:noProof/>
                <w:webHidden/>
              </w:rPr>
              <w:fldChar w:fldCharType="end"/>
            </w:r>
          </w:hyperlink>
        </w:p>
        <w:p w14:paraId="04918D47" w14:textId="3B52268C" w:rsidR="00544C4C" w:rsidRDefault="00544C4C">
          <w:pPr>
            <w:pStyle w:val="TOC2"/>
            <w:tabs>
              <w:tab w:val="left" w:pos="960"/>
              <w:tab w:val="right" w:leader="dot" w:pos="9016"/>
            </w:tabs>
            <w:rPr>
              <w:rFonts w:eastAsiaTheme="minorEastAsia"/>
              <w:noProof/>
              <w:lang w:eastAsia="en-IN"/>
            </w:rPr>
          </w:pPr>
          <w:hyperlink w:anchor="_Toc221457029" w:history="1">
            <w:r w:rsidRPr="00B04565">
              <w:rPr>
                <w:rStyle w:val="Hyperlink"/>
                <w:rFonts w:eastAsia="Times New Roman"/>
                <w:noProof/>
                <w:lang w:eastAsia="en-IN"/>
              </w:rPr>
              <w:t>3.1</w:t>
            </w:r>
            <w:r>
              <w:rPr>
                <w:rFonts w:eastAsiaTheme="minorEastAsia"/>
                <w:noProof/>
                <w:lang w:eastAsia="en-IN"/>
              </w:rPr>
              <w:tab/>
            </w:r>
            <w:r w:rsidRPr="00B04565">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_Toc221457029 \h </w:instrText>
            </w:r>
            <w:r>
              <w:rPr>
                <w:noProof/>
                <w:webHidden/>
              </w:rPr>
            </w:r>
            <w:r>
              <w:rPr>
                <w:noProof/>
                <w:webHidden/>
              </w:rPr>
              <w:fldChar w:fldCharType="separate"/>
            </w:r>
            <w:r>
              <w:rPr>
                <w:noProof/>
                <w:webHidden/>
              </w:rPr>
              <w:t>6</w:t>
            </w:r>
            <w:r>
              <w:rPr>
                <w:noProof/>
                <w:webHidden/>
              </w:rPr>
              <w:fldChar w:fldCharType="end"/>
            </w:r>
          </w:hyperlink>
        </w:p>
        <w:p w14:paraId="5EE597D6" w14:textId="0CCB5D7B" w:rsidR="00544C4C" w:rsidRDefault="00544C4C">
          <w:pPr>
            <w:pStyle w:val="TOC2"/>
            <w:tabs>
              <w:tab w:val="left" w:pos="960"/>
              <w:tab w:val="right" w:leader="dot" w:pos="9016"/>
            </w:tabs>
            <w:rPr>
              <w:rFonts w:eastAsiaTheme="minorEastAsia"/>
              <w:noProof/>
              <w:lang w:eastAsia="en-IN"/>
            </w:rPr>
          </w:pPr>
          <w:hyperlink w:anchor="_Toc221457030" w:history="1">
            <w:r w:rsidRPr="00B04565">
              <w:rPr>
                <w:rStyle w:val="Hyperlink"/>
                <w:rFonts w:eastAsia="Times New Roman"/>
                <w:noProof/>
                <w:lang w:eastAsia="en-IN"/>
              </w:rPr>
              <w:t>3.2</w:t>
            </w:r>
            <w:r>
              <w:rPr>
                <w:rFonts w:eastAsiaTheme="minorEastAsia"/>
                <w:noProof/>
                <w:lang w:eastAsia="en-IN"/>
              </w:rPr>
              <w:tab/>
            </w:r>
            <w:r w:rsidRPr="00B04565">
              <w:rPr>
                <w:rStyle w:val="Hyperlink"/>
                <w:rFonts w:eastAsia="Times New Roman"/>
                <w:noProof/>
                <w:lang w:eastAsia="en-IN"/>
              </w:rPr>
              <w:t>SLM-based Modernization Approach</w:t>
            </w:r>
            <w:r>
              <w:rPr>
                <w:noProof/>
                <w:webHidden/>
              </w:rPr>
              <w:tab/>
            </w:r>
            <w:r>
              <w:rPr>
                <w:noProof/>
                <w:webHidden/>
              </w:rPr>
              <w:fldChar w:fldCharType="begin"/>
            </w:r>
            <w:r>
              <w:rPr>
                <w:noProof/>
                <w:webHidden/>
              </w:rPr>
              <w:instrText xml:space="preserve"> PAGEREF _Toc221457030 \h </w:instrText>
            </w:r>
            <w:r>
              <w:rPr>
                <w:noProof/>
                <w:webHidden/>
              </w:rPr>
            </w:r>
            <w:r>
              <w:rPr>
                <w:noProof/>
                <w:webHidden/>
              </w:rPr>
              <w:fldChar w:fldCharType="separate"/>
            </w:r>
            <w:r>
              <w:rPr>
                <w:noProof/>
                <w:webHidden/>
              </w:rPr>
              <w:t>7</w:t>
            </w:r>
            <w:r>
              <w:rPr>
                <w:noProof/>
                <w:webHidden/>
              </w:rPr>
              <w:fldChar w:fldCharType="end"/>
            </w:r>
          </w:hyperlink>
        </w:p>
        <w:p w14:paraId="28FECBAE" w14:textId="29F3B0D7" w:rsidR="00544C4C" w:rsidRDefault="00544C4C">
          <w:pPr>
            <w:pStyle w:val="TOC2"/>
            <w:tabs>
              <w:tab w:val="left" w:pos="960"/>
              <w:tab w:val="right" w:leader="dot" w:pos="9016"/>
            </w:tabs>
            <w:rPr>
              <w:rFonts w:eastAsiaTheme="minorEastAsia"/>
              <w:noProof/>
              <w:lang w:eastAsia="en-IN"/>
            </w:rPr>
          </w:pPr>
          <w:hyperlink w:anchor="_Toc221457031" w:history="1">
            <w:r w:rsidRPr="00B04565">
              <w:rPr>
                <w:rStyle w:val="Hyperlink"/>
                <w:rFonts w:eastAsia="Times New Roman"/>
                <w:noProof/>
                <w:lang w:eastAsia="en-IN"/>
              </w:rPr>
              <w:t>3.3</w:t>
            </w:r>
            <w:r>
              <w:rPr>
                <w:rFonts w:eastAsiaTheme="minorEastAsia"/>
                <w:noProof/>
                <w:lang w:eastAsia="en-IN"/>
              </w:rPr>
              <w:tab/>
            </w:r>
            <w:r w:rsidRPr="00B04565">
              <w:rPr>
                <w:rStyle w:val="Hyperlink"/>
                <w:rFonts w:eastAsia="Times New Roman"/>
                <w:noProof/>
                <w:lang w:eastAsia="en-IN"/>
              </w:rPr>
              <w:t>Alignment to Databricks Well-Architected Framework</w:t>
            </w:r>
            <w:r>
              <w:rPr>
                <w:noProof/>
                <w:webHidden/>
              </w:rPr>
              <w:tab/>
            </w:r>
            <w:r>
              <w:rPr>
                <w:noProof/>
                <w:webHidden/>
              </w:rPr>
              <w:fldChar w:fldCharType="begin"/>
            </w:r>
            <w:r>
              <w:rPr>
                <w:noProof/>
                <w:webHidden/>
              </w:rPr>
              <w:instrText xml:space="preserve"> PAGEREF _Toc221457031 \h </w:instrText>
            </w:r>
            <w:r>
              <w:rPr>
                <w:noProof/>
                <w:webHidden/>
              </w:rPr>
            </w:r>
            <w:r>
              <w:rPr>
                <w:noProof/>
                <w:webHidden/>
              </w:rPr>
              <w:fldChar w:fldCharType="separate"/>
            </w:r>
            <w:r>
              <w:rPr>
                <w:noProof/>
                <w:webHidden/>
              </w:rPr>
              <w:t>7</w:t>
            </w:r>
            <w:r>
              <w:rPr>
                <w:noProof/>
                <w:webHidden/>
              </w:rPr>
              <w:fldChar w:fldCharType="end"/>
            </w:r>
          </w:hyperlink>
        </w:p>
        <w:p w14:paraId="51D88B01" w14:textId="516494BA" w:rsidR="00544C4C" w:rsidRDefault="00544C4C">
          <w:pPr>
            <w:pStyle w:val="TOC2"/>
            <w:tabs>
              <w:tab w:val="left" w:pos="960"/>
              <w:tab w:val="right" w:leader="dot" w:pos="9016"/>
            </w:tabs>
            <w:rPr>
              <w:rFonts w:eastAsiaTheme="minorEastAsia"/>
              <w:noProof/>
              <w:lang w:eastAsia="en-IN"/>
            </w:rPr>
          </w:pPr>
          <w:hyperlink w:anchor="_Toc221457032" w:history="1">
            <w:r w:rsidRPr="00B04565">
              <w:rPr>
                <w:rStyle w:val="Hyperlink"/>
                <w:rFonts w:eastAsia="Times New Roman"/>
                <w:noProof/>
                <w:lang w:eastAsia="en-IN"/>
              </w:rPr>
              <w:t>3.4</w:t>
            </w:r>
            <w:r>
              <w:rPr>
                <w:rFonts w:eastAsiaTheme="minorEastAsia"/>
                <w:noProof/>
                <w:lang w:eastAsia="en-IN"/>
              </w:rPr>
              <w:tab/>
            </w:r>
            <w:r w:rsidRPr="00B04565">
              <w:rPr>
                <w:rStyle w:val="Hyperlink"/>
                <w:rFonts w:eastAsia="Times New Roman"/>
                <w:noProof/>
                <w:lang w:eastAsia="en-IN"/>
              </w:rPr>
              <w:t>ETL Modernization</w:t>
            </w:r>
            <w:r>
              <w:rPr>
                <w:noProof/>
                <w:webHidden/>
              </w:rPr>
              <w:tab/>
            </w:r>
            <w:r>
              <w:rPr>
                <w:noProof/>
                <w:webHidden/>
              </w:rPr>
              <w:fldChar w:fldCharType="begin"/>
            </w:r>
            <w:r>
              <w:rPr>
                <w:noProof/>
                <w:webHidden/>
              </w:rPr>
              <w:instrText xml:space="preserve"> PAGEREF _Toc221457032 \h </w:instrText>
            </w:r>
            <w:r>
              <w:rPr>
                <w:noProof/>
                <w:webHidden/>
              </w:rPr>
            </w:r>
            <w:r>
              <w:rPr>
                <w:noProof/>
                <w:webHidden/>
              </w:rPr>
              <w:fldChar w:fldCharType="separate"/>
            </w:r>
            <w:r>
              <w:rPr>
                <w:noProof/>
                <w:webHidden/>
              </w:rPr>
              <w:t>8</w:t>
            </w:r>
            <w:r>
              <w:rPr>
                <w:noProof/>
                <w:webHidden/>
              </w:rPr>
              <w:fldChar w:fldCharType="end"/>
            </w:r>
          </w:hyperlink>
        </w:p>
        <w:p w14:paraId="7B59996D" w14:textId="1B999FCD" w:rsidR="00544C4C" w:rsidRDefault="00544C4C">
          <w:pPr>
            <w:pStyle w:val="TOC3"/>
            <w:tabs>
              <w:tab w:val="left" w:pos="1440"/>
              <w:tab w:val="right" w:leader="dot" w:pos="9016"/>
            </w:tabs>
            <w:rPr>
              <w:rFonts w:eastAsiaTheme="minorEastAsia"/>
              <w:noProof/>
              <w:lang w:eastAsia="en-IN"/>
            </w:rPr>
          </w:pPr>
          <w:hyperlink w:anchor="_Toc221457033" w:history="1">
            <w:r w:rsidRPr="00B04565">
              <w:rPr>
                <w:rStyle w:val="Hyperlink"/>
                <w:noProof/>
              </w:rPr>
              <w:t>3.4.1</w:t>
            </w:r>
            <w:r>
              <w:rPr>
                <w:rFonts w:eastAsiaTheme="minorEastAsia"/>
                <w:noProof/>
                <w:lang w:eastAsia="en-IN"/>
              </w:rPr>
              <w:tab/>
            </w:r>
            <w:r w:rsidRPr="00B04565">
              <w:rPr>
                <w:rStyle w:val="Hyperlink"/>
                <w:noProof/>
              </w:rPr>
              <w:t>Discovery &amp; Mapping</w:t>
            </w:r>
            <w:r>
              <w:rPr>
                <w:noProof/>
                <w:webHidden/>
              </w:rPr>
              <w:tab/>
            </w:r>
            <w:r>
              <w:rPr>
                <w:noProof/>
                <w:webHidden/>
              </w:rPr>
              <w:fldChar w:fldCharType="begin"/>
            </w:r>
            <w:r>
              <w:rPr>
                <w:noProof/>
                <w:webHidden/>
              </w:rPr>
              <w:instrText xml:space="preserve"> PAGEREF _Toc221457033 \h </w:instrText>
            </w:r>
            <w:r>
              <w:rPr>
                <w:noProof/>
                <w:webHidden/>
              </w:rPr>
            </w:r>
            <w:r>
              <w:rPr>
                <w:noProof/>
                <w:webHidden/>
              </w:rPr>
              <w:fldChar w:fldCharType="separate"/>
            </w:r>
            <w:r>
              <w:rPr>
                <w:noProof/>
                <w:webHidden/>
              </w:rPr>
              <w:t>9</w:t>
            </w:r>
            <w:r>
              <w:rPr>
                <w:noProof/>
                <w:webHidden/>
              </w:rPr>
              <w:fldChar w:fldCharType="end"/>
            </w:r>
          </w:hyperlink>
        </w:p>
        <w:p w14:paraId="375FD24D" w14:textId="22167ABF" w:rsidR="00544C4C" w:rsidRDefault="00544C4C">
          <w:pPr>
            <w:pStyle w:val="TOC3"/>
            <w:tabs>
              <w:tab w:val="left" w:pos="1440"/>
              <w:tab w:val="right" w:leader="dot" w:pos="9016"/>
            </w:tabs>
            <w:rPr>
              <w:rFonts w:eastAsiaTheme="minorEastAsia"/>
              <w:noProof/>
              <w:lang w:eastAsia="en-IN"/>
            </w:rPr>
          </w:pPr>
          <w:hyperlink w:anchor="_Toc221457034" w:history="1">
            <w:r w:rsidRPr="00B04565">
              <w:rPr>
                <w:rStyle w:val="Hyperlink"/>
                <w:noProof/>
              </w:rPr>
              <w:t>3.4.2</w:t>
            </w:r>
            <w:r>
              <w:rPr>
                <w:rFonts w:eastAsiaTheme="minorEastAsia"/>
                <w:noProof/>
                <w:lang w:eastAsia="en-IN"/>
              </w:rPr>
              <w:tab/>
            </w:r>
            <w:r w:rsidRPr="00B04565">
              <w:rPr>
                <w:rStyle w:val="Hyperlink"/>
                <w:noProof/>
              </w:rPr>
              <w:t>ETL Translation</w:t>
            </w:r>
            <w:r>
              <w:rPr>
                <w:noProof/>
                <w:webHidden/>
              </w:rPr>
              <w:tab/>
            </w:r>
            <w:r>
              <w:rPr>
                <w:noProof/>
                <w:webHidden/>
              </w:rPr>
              <w:fldChar w:fldCharType="begin"/>
            </w:r>
            <w:r>
              <w:rPr>
                <w:noProof/>
                <w:webHidden/>
              </w:rPr>
              <w:instrText xml:space="preserve"> PAGEREF _Toc221457034 \h </w:instrText>
            </w:r>
            <w:r>
              <w:rPr>
                <w:noProof/>
                <w:webHidden/>
              </w:rPr>
            </w:r>
            <w:r>
              <w:rPr>
                <w:noProof/>
                <w:webHidden/>
              </w:rPr>
              <w:fldChar w:fldCharType="separate"/>
            </w:r>
            <w:r>
              <w:rPr>
                <w:noProof/>
                <w:webHidden/>
              </w:rPr>
              <w:t>9</w:t>
            </w:r>
            <w:r>
              <w:rPr>
                <w:noProof/>
                <w:webHidden/>
              </w:rPr>
              <w:fldChar w:fldCharType="end"/>
            </w:r>
          </w:hyperlink>
        </w:p>
        <w:p w14:paraId="7213966E" w14:textId="7EC9704C" w:rsidR="00544C4C" w:rsidRDefault="00544C4C">
          <w:pPr>
            <w:pStyle w:val="TOC3"/>
            <w:tabs>
              <w:tab w:val="left" w:pos="1440"/>
              <w:tab w:val="right" w:leader="dot" w:pos="9016"/>
            </w:tabs>
            <w:rPr>
              <w:rFonts w:eastAsiaTheme="minorEastAsia"/>
              <w:noProof/>
              <w:lang w:eastAsia="en-IN"/>
            </w:rPr>
          </w:pPr>
          <w:hyperlink w:anchor="_Toc221457035" w:history="1">
            <w:r w:rsidRPr="00B04565">
              <w:rPr>
                <w:rStyle w:val="Hyperlink"/>
                <w:noProof/>
              </w:rPr>
              <w:t>3.4.3</w:t>
            </w:r>
            <w:r>
              <w:rPr>
                <w:rFonts w:eastAsiaTheme="minorEastAsia"/>
                <w:noProof/>
                <w:lang w:eastAsia="en-IN"/>
              </w:rPr>
              <w:tab/>
            </w:r>
            <w:r w:rsidRPr="00B04565">
              <w:rPr>
                <w:rStyle w:val="Hyperlink"/>
                <w:noProof/>
              </w:rPr>
              <w:t>Business Logic Preservation</w:t>
            </w:r>
            <w:r>
              <w:rPr>
                <w:noProof/>
                <w:webHidden/>
              </w:rPr>
              <w:tab/>
            </w:r>
            <w:r>
              <w:rPr>
                <w:noProof/>
                <w:webHidden/>
              </w:rPr>
              <w:fldChar w:fldCharType="begin"/>
            </w:r>
            <w:r>
              <w:rPr>
                <w:noProof/>
                <w:webHidden/>
              </w:rPr>
              <w:instrText xml:space="preserve"> PAGEREF _Toc221457035 \h </w:instrText>
            </w:r>
            <w:r>
              <w:rPr>
                <w:noProof/>
                <w:webHidden/>
              </w:rPr>
            </w:r>
            <w:r>
              <w:rPr>
                <w:noProof/>
                <w:webHidden/>
              </w:rPr>
              <w:fldChar w:fldCharType="separate"/>
            </w:r>
            <w:r>
              <w:rPr>
                <w:noProof/>
                <w:webHidden/>
              </w:rPr>
              <w:t>9</w:t>
            </w:r>
            <w:r>
              <w:rPr>
                <w:noProof/>
                <w:webHidden/>
              </w:rPr>
              <w:fldChar w:fldCharType="end"/>
            </w:r>
          </w:hyperlink>
        </w:p>
        <w:p w14:paraId="747EFE95" w14:textId="639EBACF" w:rsidR="00544C4C" w:rsidRDefault="00544C4C">
          <w:pPr>
            <w:pStyle w:val="TOC3"/>
            <w:tabs>
              <w:tab w:val="left" w:pos="1440"/>
              <w:tab w:val="right" w:leader="dot" w:pos="9016"/>
            </w:tabs>
            <w:rPr>
              <w:rFonts w:eastAsiaTheme="minorEastAsia"/>
              <w:noProof/>
              <w:lang w:eastAsia="en-IN"/>
            </w:rPr>
          </w:pPr>
          <w:hyperlink w:anchor="_Toc221457036" w:history="1">
            <w:r w:rsidRPr="00B04565">
              <w:rPr>
                <w:rStyle w:val="Hyperlink"/>
                <w:noProof/>
              </w:rPr>
              <w:t>3.4.4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_Toc221457036 \h </w:instrText>
            </w:r>
            <w:r>
              <w:rPr>
                <w:noProof/>
                <w:webHidden/>
              </w:rPr>
            </w:r>
            <w:r>
              <w:rPr>
                <w:noProof/>
                <w:webHidden/>
              </w:rPr>
              <w:fldChar w:fldCharType="separate"/>
            </w:r>
            <w:r>
              <w:rPr>
                <w:noProof/>
                <w:webHidden/>
              </w:rPr>
              <w:t>9</w:t>
            </w:r>
            <w:r>
              <w:rPr>
                <w:noProof/>
                <w:webHidden/>
              </w:rPr>
              <w:fldChar w:fldCharType="end"/>
            </w:r>
          </w:hyperlink>
        </w:p>
        <w:p w14:paraId="46F98773" w14:textId="2EFE0546" w:rsidR="00544C4C" w:rsidRDefault="00544C4C">
          <w:pPr>
            <w:pStyle w:val="TOC3"/>
            <w:tabs>
              <w:tab w:val="left" w:pos="1440"/>
              <w:tab w:val="right" w:leader="dot" w:pos="9016"/>
            </w:tabs>
            <w:rPr>
              <w:rFonts w:eastAsiaTheme="minorEastAsia"/>
              <w:noProof/>
              <w:lang w:eastAsia="en-IN"/>
            </w:rPr>
          </w:pPr>
          <w:hyperlink w:anchor="_Toc221457037" w:history="1">
            <w:r w:rsidRPr="00B04565">
              <w:rPr>
                <w:rStyle w:val="Hyperlink"/>
                <w:noProof/>
              </w:rPr>
              <w:t>3.4.5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_Toc221457037 \h </w:instrText>
            </w:r>
            <w:r>
              <w:rPr>
                <w:noProof/>
                <w:webHidden/>
              </w:rPr>
            </w:r>
            <w:r>
              <w:rPr>
                <w:noProof/>
                <w:webHidden/>
              </w:rPr>
              <w:fldChar w:fldCharType="separate"/>
            </w:r>
            <w:r>
              <w:rPr>
                <w:noProof/>
                <w:webHidden/>
              </w:rPr>
              <w:t>10</w:t>
            </w:r>
            <w:r>
              <w:rPr>
                <w:noProof/>
                <w:webHidden/>
              </w:rPr>
              <w:fldChar w:fldCharType="end"/>
            </w:r>
          </w:hyperlink>
        </w:p>
        <w:p w14:paraId="6DCE2137" w14:textId="11686A38" w:rsidR="00544C4C" w:rsidRDefault="00544C4C">
          <w:pPr>
            <w:pStyle w:val="TOC3"/>
            <w:tabs>
              <w:tab w:val="left" w:pos="1440"/>
              <w:tab w:val="right" w:leader="dot" w:pos="9016"/>
            </w:tabs>
            <w:rPr>
              <w:rFonts w:eastAsiaTheme="minorEastAsia"/>
              <w:noProof/>
              <w:lang w:eastAsia="en-IN"/>
            </w:rPr>
          </w:pPr>
          <w:hyperlink w:anchor="_Toc221457038" w:history="1">
            <w:r w:rsidRPr="00B04565">
              <w:rPr>
                <w:rStyle w:val="Hyperlink"/>
                <w:noProof/>
              </w:rPr>
              <w:t>3.4.6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_Toc221457038 \h </w:instrText>
            </w:r>
            <w:r>
              <w:rPr>
                <w:noProof/>
                <w:webHidden/>
              </w:rPr>
            </w:r>
            <w:r>
              <w:rPr>
                <w:noProof/>
                <w:webHidden/>
              </w:rPr>
              <w:fldChar w:fldCharType="separate"/>
            </w:r>
            <w:r>
              <w:rPr>
                <w:noProof/>
                <w:webHidden/>
              </w:rPr>
              <w:t>10</w:t>
            </w:r>
            <w:r>
              <w:rPr>
                <w:noProof/>
                <w:webHidden/>
              </w:rPr>
              <w:fldChar w:fldCharType="end"/>
            </w:r>
          </w:hyperlink>
        </w:p>
        <w:p w14:paraId="17DD1E0A" w14:textId="6B5A3500" w:rsidR="00544C4C" w:rsidRDefault="00544C4C">
          <w:pPr>
            <w:pStyle w:val="TOC2"/>
            <w:tabs>
              <w:tab w:val="left" w:pos="960"/>
              <w:tab w:val="right" w:leader="dot" w:pos="9016"/>
            </w:tabs>
            <w:rPr>
              <w:rFonts w:eastAsiaTheme="minorEastAsia"/>
              <w:noProof/>
              <w:lang w:eastAsia="en-IN"/>
            </w:rPr>
          </w:pPr>
          <w:hyperlink w:anchor="_Toc221457039" w:history="1">
            <w:r w:rsidRPr="00B04565">
              <w:rPr>
                <w:rStyle w:val="Hyperlink"/>
                <w:rFonts w:eastAsia="Times New Roman"/>
                <w:noProof/>
                <w:lang w:eastAsia="en-IN"/>
              </w:rPr>
              <w:t>3.5</w:t>
            </w:r>
            <w:r>
              <w:rPr>
                <w:rFonts w:eastAsiaTheme="minorEastAsia"/>
                <w:noProof/>
                <w:lang w:eastAsia="en-IN"/>
              </w:rPr>
              <w:tab/>
            </w:r>
            <w:r w:rsidRPr="00B04565">
              <w:rPr>
                <w:rStyle w:val="Hyperlink"/>
                <w:rFonts w:eastAsia="Times New Roman"/>
                <w:noProof/>
                <w:lang w:eastAsia="en-IN"/>
              </w:rPr>
              <w:t>Data Warehouse Migration</w:t>
            </w:r>
            <w:r>
              <w:rPr>
                <w:noProof/>
                <w:webHidden/>
              </w:rPr>
              <w:tab/>
            </w:r>
            <w:r>
              <w:rPr>
                <w:noProof/>
                <w:webHidden/>
              </w:rPr>
              <w:fldChar w:fldCharType="begin"/>
            </w:r>
            <w:r>
              <w:rPr>
                <w:noProof/>
                <w:webHidden/>
              </w:rPr>
              <w:instrText xml:space="preserve"> PAGEREF _Toc221457039 \h </w:instrText>
            </w:r>
            <w:r>
              <w:rPr>
                <w:noProof/>
                <w:webHidden/>
              </w:rPr>
            </w:r>
            <w:r>
              <w:rPr>
                <w:noProof/>
                <w:webHidden/>
              </w:rPr>
              <w:fldChar w:fldCharType="separate"/>
            </w:r>
            <w:r>
              <w:rPr>
                <w:noProof/>
                <w:webHidden/>
              </w:rPr>
              <w:t>10</w:t>
            </w:r>
            <w:r>
              <w:rPr>
                <w:noProof/>
                <w:webHidden/>
              </w:rPr>
              <w:fldChar w:fldCharType="end"/>
            </w:r>
          </w:hyperlink>
        </w:p>
        <w:p w14:paraId="18D61E35" w14:textId="49244C43" w:rsidR="00544C4C" w:rsidRDefault="00544C4C">
          <w:pPr>
            <w:pStyle w:val="TOC3"/>
            <w:tabs>
              <w:tab w:val="left" w:pos="1440"/>
              <w:tab w:val="right" w:leader="dot" w:pos="9016"/>
            </w:tabs>
            <w:rPr>
              <w:rFonts w:eastAsiaTheme="minorEastAsia"/>
              <w:noProof/>
              <w:lang w:eastAsia="en-IN"/>
            </w:rPr>
          </w:pPr>
          <w:hyperlink w:anchor="_Toc221457040" w:history="1">
            <w:r w:rsidRPr="00B04565">
              <w:rPr>
                <w:rStyle w:val="Hyperlink"/>
                <w:noProof/>
              </w:rPr>
              <w:t>3.5.1</w:t>
            </w:r>
            <w:r>
              <w:rPr>
                <w:rFonts w:eastAsiaTheme="minorEastAsia"/>
                <w:noProof/>
                <w:lang w:eastAsia="en-IN"/>
              </w:rPr>
              <w:tab/>
            </w:r>
            <w:r w:rsidRPr="00B04565">
              <w:rPr>
                <w:rStyle w:val="Hyperlink"/>
                <w:noProof/>
              </w:rPr>
              <w:t>Discovery &amp; Landscape Assessment</w:t>
            </w:r>
            <w:r>
              <w:rPr>
                <w:noProof/>
                <w:webHidden/>
              </w:rPr>
              <w:tab/>
            </w:r>
            <w:r>
              <w:rPr>
                <w:noProof/>
                <w:webHidden/>
              </w:rPr>
              <w:fldChar w:fldCharType="begin"/>
            </w:r>
            <w:r>
              <w:rPr>
                <w:noProof/>
                <w:webHidden/>
              </w:rPr>
              <w:instrText xml:space="preserve"> PAGEREF _Toc221457040 \h </w:instrText>
            </w:r>
            <w:r>
              <w:rPr>
                <w:noProof/>
                <w:webHidden/>
              </w:rPr>
            </w:r>
            <w:r>
              <w:rPr>
                <w:noProof/>
                <w:webHidden/>
              </w:rPr>
              <w:fldChar w:fldCharType="separate"/>
            </w:r>
            <w:r>
              <w:rPr>
                <w:noProof/>
                <w:webHidden/>
              </w:rPr>
              <w:t>11</w:t>
            </w:r>
            <w:r>
              <w:rPr>
                <w:noProof/>
                <w:webHidden/>
              </w:rPr>
              <w:fldChar w:fldCharType="end"/>
            </w:r>
          </w:hyperlink>
        </w:p>
        <w:p w14:paraId="6951900C" w14:textId="43C74E2E" w:rsidR="00544C4C" w:rsidRDefault="00544C4C">
          <w:pPr>
            <w:pStyle w:val="TOC3"/>
            <w:tabs>
              <w:tab w:val="left" w:pos="1440"/>
              <w:tab w:val="right" w:leader="dot" w:pos="9016"/>
            </w:tabs>
            <w:rPr>
              <w:rFonts w:eastAsiaTheme="minorEastAsia"/>
              <w:noProof/>
              <w:lang w:eastAsia="en-IN"/>
            </w:rPr>
          </w:pPr>
          <w:hyperlink w:anchor="_Toc221457041" w:history="1">
            <w:r w:rsidRPr="00B04565">
              <w:rPr>
                <w:rStyle w:val="Hyperlink"/>
                <w:noProof/>
              </w:rPr>
              <w:t>3.5.2</w:t>
            </w:r>
            <w:r>
              <w:rPr>
                <w:rFonts w:eastAsiaTheme="minorEastAsia"/>
                <w:noProof/>
                <w:lang w:eastAsia="en-IN"/>
              </w:rPr>
              <w:tab/>
            </w:r>
            <w:r w:rsidRPr="00B04565">
              <w:rPr>
                <w:rStyle w:val="Hyperlink"/>
                <w:noProof/>
              </w:rPr>
              <w:t>Code Conversion</w:t>
            </w:r>
            <w:r>
              <w:rPr>
                <w:noProof/>
                <w:webHidden/>
              </w:rPr>
              <w:tab/>
            </w:r>
            <w:r>
              <w:rPr>
                <w:noProof/>
                <w:webHidden/>
              </w:rPr>
              <w:fldChar w:fldCharType="begin"/>
            </w:r>
            <w:r>
              <w:rPr>
                <w:noProof/>
                <w:webHidden/>
              </w:rPr>
              <w:instrText xml:space="preserve"> PAGEREF _Toc221457041 \h </w:instrText>
            </w:r>
            <w:r>
              <w:rPr>
                <w:noProof/>
                <w:webHidden/>
              </w:rPr>
            </w:r>
            <w:r>
              <w:rPr>
                <w:noProof/>
                <w:webHidden/>
              </w:rPr>
              <w:fldChar w:fldCharType="separate"/>
            </w:r>
            <w:r>
              <w:rPr>
                <w:noProof/>
                <w:webHidden/>
              </w:rPr>
              <w:t>11</w:t>
            </w:r>
            <w:r>
              <w:rPr>
                <w:noProof/>
                <w:webHidden/>
              </w:rPr>
              <w:fldChar w:fldCharType="end"/>
            </w:r>
          </w:hyperlink>
        </w:p>
        <w:p w14:paraId="7910106C" w14:textId="6C2A0730" w:rsidR="00544C4C" w:rsidRDefault="00544C4C">
          <w:pPr>
            <w:pStyle w:val="TOC3"/>
            <w:tabs>
              <w:tab w:val="left" w:pos="1440"/>
              <w:tab w:val="right" w:leader="dot" w:pos="9016"/>
            </w:tabs>
            <w:rPr>
              <w:rFonts w:eastAsiaTheme="minorEastAsia"/>
              <w:noProof/>
              <w:lang w:eastAsia="en-IN"/>
            </w:rPr>
          </w:pPr>
          <w:hyperlink w:anchor="_Toc221457042" w:history="1">
            <w:r w:rsidRPr="00B04565">
              <w:rPr>
                <w:rStyle w:val="Hyperlink"/>
                <w:noProof/>
              </w:rPr>
              <w:t>3.5.3</w:t>
            </w:r>
            <w:r>
              <w:rPr>
                <w:rFonts w:eastAsiaTheme="minorEastAsia"/>
                <w:noProof/>
                <w:lang w:eastAsia="en-IN"/>
              </w:rPr>
              <w:tab/>
            </w:r>
            <w:r w:rsidRPr="00B04565">
              <w:rPr>
                <w:rStyle w:val="Hyperlink"/>
                <w:noProof/>
              </w:rPr>
              <w:t>Business Logic Extraction</w:t>
            </w:r>
            <w:r>
              <w:rPr>
                <w:noProof/>
                <w:webHidden/>
              </w:rPr>
              <w:tab/>
            </w:r>
            <w:r>
              <w:rPr>
                <w:noProof/>
                <w:webHidden/>
              </w:rPr>
              <w:fldChar w:fldCharType="begin"/>
            </w:r>
            <w:r>
              <w:rPr>
                <w:noProof/>
                <w:webHidden/>
              </w:rPr>
              <w:instrText xml:space="preserve"> PAGEREF _Toc221457042 \h </w:instrText>
            </w:r>
            <w:r>
              <w:rPr>
                <w:noProof/>
                <w:webHidden/>
              </w:rPr>
            </w:r>
            <w:r>
              <w:rPr>
                <w:noProof/>
                <w:webHidden/>
              </w:rPr>
              <w:fldChar w:fldCharType="separate"/>
            </w:r>
            <w:r>
              <w:rPr>
                <w:noProof/>
                <w:webHidden/>
              </w:rPr>
              <w:t>11</w:t>
            </w:r>
            <w:r>
              <w:rPr>
                <w:noProof/>
                <w:webHidden/>
              </w:rPr>
              <w:fldChar w:fldCharType="end"/>
            </w:r>
          </w:hyperlink>
        </w:p>
        <w:p w14:paraId="7852E6EF" w14:textId="1B2E50E2" w:rsidR="00544C4C" w:rsidRDefault="00544C4C">
          <w:pPr>
            <w:pStyle w:val="TOC3"/>
            <w:tabs>
              <w:tab w:val="left" w:pos="1440"/>
              <w:tab w:val="right" w:leader="dot" w:pos="9016"/>
            </w:tabs>
            <w:rPr>
              <w:rFonts w:eastAsiaTheme="minorEastAsia"/>
              <w:noProof/>
              <w:lang w:eastAsia="en-IN"/>
            </w:rPr>
          </w:pPr>
          <w:hyperlink w:anchor="_Toc221457043" w:history="1">
            <w:r w:rsidRPr="00B04565">
              <w:rPr>
                <w:rStyle w:val="Hyperlink"/>
                <w:noProof/>
              </w:rPr>
              <w:t>3.5.4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_Toc221457043 \h </w:instrText>
            </w:r>
            <w:r>
              <w:rPr>
                <w:noProof/>
                <w:webHidden/>
              </w:rPr>
            </w:r>
            <w:r>
              <w:rPr>
                <w:noProof/>
                <w:webHidden/>
              </w:rPr>
              <w:fldChar w:fldCharType="separate"/>
            </w:r>
            <w:r>
              <w:rPr>
                <w:noProof/>
                <w:webHidden/>
              </w:rPr>
              <w:t>12</w:t>
            </w:r>
            <w:r>
              <w:rPr>
                <w:noProof/>
                <w:webHidden/>
              </w:rPr>
              <w:fldChar w:fldCharType="end"/>
            </w:r>
          </w:hyperlink>
        </w:p>
        <w:p w14:paraId="1F7247A7" w14:textId="1F310339" w:rsidR="00544C4C" w:rsidRDefault="00544C4C">
          <w:pPr>
            <w:pStyle w:val="TOC3"/>
            <w:tabs>
              <w:tab w:val="left" w:pos="1440"/>
              <w:tab w:val="right" w:leader="dot" w:pos="9016"/>
            </w:tabs>
            <w:rPr>
              <w:rFonts w:eastAsiaTheme="minorEastAsia"/>
              <w:noProof/>
              <w:lang w:eastAsia="en-IN"/>
            </w:rPr>
          </w:pPr>
          <w:hyperlink w:anchor="_Toc221457044" w:history="1">
            <w:r w:rsidRPr="00B04565">
              <w:rPr>
                <w:rStyle w:val="Hyperlink"/>
                <w:noProof/>
              </w:rPr>
              <w:t>3.5.5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_Toc221457044 \h </w:instrText>
            </w:r>
            <w:r>
              <w:rPr>
                <w:noProof/>
                <w:webHidden/>
              </w:rPr>
            </w:r>
            <w:r>
              <w:rPr>
                <w:noProof/>
                <w:webHidden/>
              </w:rPr>
              <w:fldChar w:fldCharType="separate"/>
            </w:r>
            <w:r>
              <w:rPr>
                <w:noProof/>
                <w:webHidden/>
              </w:rPr>
              <w:t>12</w:t>
            </w:r>
            <w:r>
              <w:rPr>
                <w:noProof/>
                <w:webHidden/>
              </w:rPr>
              <w:fldChar w:fldCharType="end"/>
            </w:r>
          </w:hyperlink>
        </w:p>
        <w:p w14:paraId="7E3389A3" w14:textId="02EE1B09" w:rsidR="00544C4C" w:rsidRDefault="00544C4C">
          <w:pPr>
            <w:pStyle w:val="TOC3"/>
            <w:tabs>
              <w:tab w:val="left" w:pos="1440"/>
              <w:tab w:val="right" w:leader="dot" w:pos="9016"/>
            </w:tabs>
            <w:rPr>
              <w:rFonts w:eastAsiaTheme="minorEastAsia"/>
              <w:noProof/>
              <w:lang w:eastAsia="en-IN"/>
            </w:rPr>
          </w:pPr>
          <w:hyperlink w:anchor="_Toc221457045" w:history="1">
            <w:r w:rsidRPr="00B04565">
              <w:rPr>
                <w:rStyle w:val="Hyperlink"/>
                <w:noProof/>
              </w:rPr>
              <w:t>3.5.6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_Toc221457045 \h </w:instrText>
            </w:r>
            <w:r>
              <w:rPr>
                <w:noProof/>
                <w:webHidden/>
              </w:rPr>
            </w:r>
            <w:r>
              <w:rPr>
                <w:noProof/>
                <w:webHidden/>
              </w:rPr>
              <w:fldChar w:fldCharType="separate"/>
            </w:r>
            <w:r>
              <w:rPr>
                <w:noProof/>
                <w:webHidden/>
              </w:rPr>
              <w:t>12</w:t>
            </w:r>
            <w:r>
              <w:rPr>
                <w:noProof/>
                <w:webHidden/>
              </w:rPr>
              <w:fldChar w:fldCharType="end"/>
            </w:r>
          </w:hyperlink>
        </w:p>
        <w:p w14:paraId="1A34265B" w14:textId="3F6431C7" w:rsidR="00544C4C" w:rsidRDefault="00544C4C">
          <w:pPr>
            <w:pStyle w:val="TOC1"/>
            <w:tabs>
              <w:tab w:val="left" w:pos="480"/>
              <w:tab w:val="right" w:leader="dot" w:pos="9016"/>
            </w:tabs>
            <w:rPr>
              <w:rFonts w:eastAsiaTheme="minorEastAsia"/>
              <w:noProof/>
              <w:lang w:eastAsia="en-IN"/>
            </w:rPr>
          </w:pPr>
          <w:hyperlink w:anchor="_Toc221457046" w:history="1">
            <w:r w:rsidRPr="00B04565">
              <w:rPr>
                <w:rStyle w:val="Hyperlink"/>
                <w:rFonts w:eastAsia="Times New Roman"/>
                <w:noProof/>
                <w:lang w:eastAsia="en-IN"/>
              </w:rPr>
              <w:t>4.</w:t>
            </w:r>
            <w:r>
              <w:rPr>
                <w:rFonts w:eastAsiaTheme="minorEastAsia"/>
                <w:noProof/>
                <w:lang w:eastAsia="en-IN"/>
              </w:rPr>
              <w:tab/>
            </w:r>
            <w:r w:rsidRPr="00B04565">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_Toc221457046 \h </w:instrText>
            </w:r>
            <w:r>
              <w:rPr>
                <w:noProof/>
                <w:webHidden/>
              </w:rPr>
            </w:r>
            <w:r>
              <w:rPr>
                <w:noProof/>
                <w:webHidden/>
              </w:rPr>
              <w:fldChar w:fldCharType="separate"/>
            </w:r>
            <w:r>
              <w:rPr>
                <w:noProof/>
                <w:webHidden/>
              </w:rPr>
              <w:t>12</w:t>
            </w:r>
            <w:r>
              <w:rPr>
                <w:noProof/>
                <w:webHidden/>
              </w:rPr>
              <w:fldChar w:fldCharType="end"/>
            </w:r>
          </w:hyperlink>
        </w:p>
        <w:p w14:paraId="5DB03983" w14:textId="1DB1EED7" w:rsidR="00544C4C" w:rsidRDefault="00544C4C">
          <w:pPr>
            <w:pStyle w:val="TOC2"/>
            <w:tabs>
              <w:tab w:val="left" w:pos="960"/>
              <w:tab w:val="right" w:leader="dot" w:pos="9016"/>
            </w:tabs>
            <w:rPr>
              <w:rFonts w:eastAsiaTheme="minorEastAsia"/>
              <w:noProof/>
              <w:lang w:eastAsia="en-IN"/>
            </w:rPr>
          </w:pPr>
          <w:hyperlink w:anchor="_Toc221457047" w:history="1">
            <w:r w:rsidRPr="00B04565">
              <w:rPr>
                <w:rStyle w:val="Hyperlink"/>
                <w:rFonts w:eastAsia="Times New Roman"/>
                <w:noProof/>
                <w:lang w:eastAsia="en-IN"/>
              </w:rPr>
              <w:t>4.1</w:t>
            </w:r>
            <w:r>
              <w:rPr>
                <w:rFonts w:eastAsiaTheme="minorEastAsia"/>
                <w:noProof/>
                <w:lang w:eastAsia="en-IN"/>
              </w:rPr>
              <w:tab/>
            </w:r>
            <w:r w:rsidRPr="00B04565">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_Toc221457047 \h </w:instrText>
            </w:r>
            <w:r>
              <w:rPr>
                <w:noProof/>
                <w:webHidden/>
              </w:rPr>
            </w:r>
            <w:r>
              <w:rPr>
                <w:noProof/>
                <w:webHidden/>
              </w:rPr>
              <w:fldChar w:fldCharType="separate"/>
            </w:r>
            <w:r>
              <w:rPr>
                <w:noProof/>
                <w:webHidden/>
              </w:rPr>
              <w:t>13</w:t>
            </w:r>
            <w:r>
              <w:rPr>
                <w:noProof/>
                <w:webHidden/>
              </w:rPr>
              <w:fldChar w:fldCharType="end"/>
            </w:r>
          </w:hyperlink>
        </w:p>
        <w:p w14:paraId="4C9B493B" w14:textId="65C32E2A" w:rsidR="00544C4C" w:rsidRDefault="00544C4C">
          <w:pPr>
            <w:pStyle w:val="TOC2"/>
            <w:tabs>
              <w:tab w:val="left" w:pos="960"/>
              <w:tab w:val="right" w:leader="dot" w:pos="9016"/>
            </w:tabs>
            <w:rPr>
              <w:rFonts w:eastAsiaTheme="minorEastAsia"/>
              <w:noProof/>
              <w:lang w:eastAsia="en-IN"/>
            </w:rPr>
          </w:pPr>
          <w:hyperlink w:anchor="_Toc221457048" w:history="1">
            <w:r w:rsidRPr="00B04565">
              <w:rPr>
                <w:rStyle w:val="Hyperlink"/>
                <w:rFonts w:eastAsia="Times New Roman"/>
                <w:noProof/>
                <w:lang w:eastAsia="en-IN"/>
              </w:rPr>
              <w:t>4.2</w:t>
            </w:r>
            <w:r>
              <w:rPr>
                <w:rFonts w:eastAsiaTheme="minorEastAsia"/>
                <w:noProof/>
                <w:lang w:eastAsia="en-IN"/>
              </w:rPr>
              <w:tab/>
            </w:r>
            <w:r w:rsidRPr="00B04565">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_Toc221457048 \h </w:instrText>
            </w:r>
            <w:r>
              <w:rPr>
                <w:noProof/>
                <w:webHidden/>
              </w:rPr>
            </w:r>
            <w:r>
              <w:rPr>
                <w:noProof/>
                <w:webHidden/>
              </w:rPr>
              <w:fldChar w:fldCharType="separate"/>
            </w:r>
            <w:r>
              <w:rPr>
                <w:noProof/>
                <w:webHidden/>
              </w:rPr>
              <w:t>13</w:t>
            </w:r>
            <w:r>
              <w:rPr>
                <w:noProof/>
                <w:webHidden/>
              </w:rPr>
              <w:fldChar w:fldCharType="end"/>
            </w:r>
          </w:hyperlink>
        </w:p>
        <w:p w14:paraId="7C5532D3" w14:textId="1A33BA32" w:rsidR="00544C4C" w:rsidRDefault="00544C4C">
          <w:pPr>
            <w:pStyle w:val="TOC1"/>
            <w:tabs>
              <w:tab w:val="left" w:pos="480"/>
              <w:tab w:val="right" w:leader="dot" w:pos="9016"/>
            </w:tabs>
            <w:rPr>
              <w:rFonts w:eastAsiaTheme="minorEastAsia"/>
              <w:noProof/>
              <w:lang w:eastAsia="en-IN"/>
            </w:rPr>
          </w:pPr>
          <w:hyperlink w:anchor="_Toc221457049" w:history="1">
            <w:r w:rsidRPr="00B04565">
              <w:rPr>
                <w:rStyle w:val="Hyperlink"/>
                <w:rFonts w:eastAsia="Times New Roman"/>
                <w:noProof/>
                <w:lang w:eastAsia="en-IN"/>
              </w:rPr>
              <w:t>5.</w:t>
            </w:r>
            <w:r>
              <w:rPr>
                <w:rFonts w:eastAsiaTheme="minorEastAsia"/>
                <w:noProof/>
                <w:lang w:eastAsia="en-IN"/>
              </w:rPr>
              <w:tab/>
            </w:r>
            <w:r w:rsidRPr="00B04565">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_Toc221457049 \h </w:instrText>
            </w:r>
            <w:r>
              <w:rPr>
                <w:noProof/>
                <w:webHidden/>
              </w:rPr>
            </w:r>
            <w:r>
              <w:rPr>
                <w:noProof/>
                <w:webHidden/>
              </w:rPr>
              <w:fldChar w:fldCharType="separate"/>
            </w:r>
            <w:r>
              <w:rPr>
                <w:noProof/>
                <w:webHidden/>
              </w:rPr>
              <w:t>14</w:t>
            </w:r>
            <w:r>
              <w:rPr>
                <w:noProof/>
                <w:webHidden/>
              </w:rPr>
              <w:fldChar w:fldCharType="end"/>
            </w:r>
          </w:hyperlink>
        </w:p>
        <w:p w14:paraId="6B8BB30C" w14:textId="7BCF83CE" w:rsidR="00544C4C" w:rsidRDefault="00544C4C">
          <w:pPr>
            <w:pStyle w:val="TOC2"/>
            <w:tabs>
              <w:tab w:val="left" w:pos="960"/>
              <w:tab w:val="right" w:leader="dot" w:pos="9016"/>
            </w:tabs>
            <w:rPr>
              <w:rFonts w:eastAsiaTheme="minorEastAsia"/>
              <w:noProof/>
              <w:lang w:eastAsia="en-IN"/>
            </w:rPr>
          </w:pPr>
          <w:hyperlink w:anchor="_Toc221457050" w:history="1">
            <w:r w:rsidRPr="00B04565">
              <w:rPr>
                <w:rStyle w:val="Hyperlink"/>
                <w:rFonts w:eastAsia="Times New Roman"/>
                <w:noProof/>
                <w:lang w:eastAsia="en-IN"/>
              </w:rPr>
              <w:t>5.1</w:t>
            </w:r>
            <w:r>
              <w:rPr>
                <w:rFonts w:eastAsiaTheme="minorEastAsia"/>
                <w:noProof/>
                <w:lang w:eastAsia="en-IN"/>
              </w:rPr>
              <w:tab/>
            </w:r>
            <w:r w:rsidRPr="00B04565">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_Toc221457050 \h </w:instrText>
            </w:r>
            <w:r>
              <w:rPr>
                <w:noProof/>
                <w:webHidden/>
              </w:rPr>
            </w:r>
            <w:r>
              <w:rPr>
                <w:noProof/>
                <w:webHidden/>
              </w:rPr>
              <w:fldChar w:fldCharType="separate"/>
            </w:r>
            <w:r>
              <w:rPr>
                <w:noProof/>
                <w:webHidden/>
              </w:rPr>
              <w:t>14</w:t>
            </w:r>
            <w:r>
              <w:rPr>
                <w:noProof/>
                <w:webHidden/>
              </w:rPr>
              <w:fldChar w:fldCharType="end"/>
            </w:r>
          </w:hyperlink>
        </w:p>
        <w:p w14:paraId="6960D0DD" w14:textId="21EE6447" w:rsidR="00544C4C" w:rsidRDefault="00544C4C">
          <w:pPr>
            <w:pStyle w:val="TOC3"/>
            <w:tabs>
              <w:tab w:val="left" w:pos="1440"/>
              <w:tab w:val="right" w:leader="dot" w:pos="9016"/>
            </w:tabs>
            <w:rPr>
              <w:rFonts w:eastAsiaTheme="minorEastAsia"/>
              <w:noProof/>
              <w:lang w:eastAsia="en-IN"/>
            </w:rPr>
          </w:pPr>
          <w:hyperlink w:anchor="_Toc221457051" w:history="1">
            <w:r w:rsidRPr="00B04565">
              <w:rPr>
                <w:rStyle w:val="Hyperlink"/>
                <w:noProof/>
              </w:rPr>
              <w:t>5.1.1</w:t>
            </w:r>
            <w:r>
              <w:rPr>
                <w:rFonts w:eastAsiaTheme="minorEastAsia"/>
                <w:noProof/>
                <w:lang w:eastAsia="en-IN"/>
              </w:rPr>
              <w:tab/>
            </w:r>
            <w:r w:rsidRPr="00B04565">
              <w:rPr>
                <w:rStyle w:val="Hyperlink"/>
                <w:noProof/>
              </w:rPr>
              <w:t>Phase 1 – Discovery &amp; Assessment</w:t>
            </w:r>
            <w:r>
              <w:rPr>
                <w:noProof/>
                <w:webHidden/>
              </w:rPr>
              <w:tab/>
            </w:r>
            <w:r>
              <w:rPr>
                <w:noProof/>
                <w:webHidden/>
              </w:rPr>
              <w:fldChar w:fldCharType="begin"/>
            </w:r>
            <w:r>
              <w:rPr>
                <w:noProof/>
                <w:webHidden/>
              </w:rPr>
              <w:instrText xml:space="preserve"> PAGEREF _Toc221457051 \h </w:instrText>
            </w:r>
            <w:r>
              <w:rPr>
                <w:noProof/>
                <w:webHidden/>
              </w:rPr>
            </w:r>
            <w:r>
              <w:rPr>
                <w:noProof/>
                <w:webHidden/>
              </w:rPr>
              <w:fldChar w:fldCharType="separate"/>
            </w:r>
            <w:r>
              <w:rPr>
                <w:noProof/>
                <w:webHidden/>
              </w:rPr>
              <w:t>14</w:t>
            </w:r>
            <w:r>
              <w:rPr>
                <w:noProof/>
                <w:webHidden/>
              </w:rPr>
              <w:fldChar w:fldCharType="end"/>
            </w:r>
          </w:hyperlink>
        </w:p>
        <w:p w14:paraId="423991B7" w14:textId="2D33BCEF" w:rsidR="00544C4C" w:rsidRDefault="00544C4C">
          <w:pPr>
            <w:pStyle w:val="TOC3"/>
            <w:tabs>
              <w:tab w:val="left" w:pos="1440"/>
              <w:tab w:val="right" w:leader="dot" w:pos="9016"/>
            </w:tabs>
            <w:rPr>
              <w:rFonts w:eastAsiaTheme="minorEastAsia"/>
              <w:noProof/>
              <w:lang w:eastAsia="en-IN"/>
            </w:rPr>
          </w:pPr>
          <w:hyperlink w:anchor="_Toc221457052" w:history="1">
            <w:r w:rsidRPr="00B04565">
              <w:rPr>
                <w:rStyle w:val="Hyperlink"/>
                <w:noProof/>
              </w:rPr>
              <w:t>5.1.2</w:t>
            </w:r>
            <w:r>
              <w:rPr>
                <w:rFonts w:eastAsiaTheme="minorEastAsia"/>
                <w:noProof/>
                <w:lang w:eastAsia="en-IN"/>
              </w:rPr>
              <w:tab/>
            </w:r>
            <w:r w:rsidRPr="00B04565">
              <w:rPr>
                <w:rStyle w:val="Hyperlink"/>
                <w:noProof/>
              </w:rPr>
              <w:t>Phase 2 – Foundation Setup</w:t>
            </w:r>
            <w:r>
              <w:rPr>
                <w:noProof/>
                <w:webHidden/>
              </w:rPr>
              <w:tab/>
            </w:r>
            <w:r>
              <w:rPr>
                <w:noProof/>
                <w:webHidden/>
              </w:rPr>
              <w:fldChar w:fldCharType="begin"/>
            </w:r>
            <w:r>
              <w:rPr>
                <w:noProof/>
                <w:webHidden/>
              </w:rPr>
              <w:instrText xml:space="preserve"> PAGEREF _Toc221457052 \h </w:instrText>
            </w:r>
            <w:r>
              <w:rPr>
                <w:noProof/>
                <w:webHidden/>
              </w:rPr>
            </w:r>
            <w:r>
              <w:rPr>
                <w:noProof/>
                <w:webHidden/>
              </w:rPr>
              <w:fldChar w:fldCharType="separate"/>
            </w:r>
            <w:r>
              <w:rPr>
                <w:noProof/>
                <w:webHidden/>
              </w:rPr>
              <w:t>14</w:t>
            </w:r>
            <w:r>
              <w:rPr>
                <w:noProof/>
                <w:webHidden/>
              </w:rPr>
              <w:fldChar w:fldCharType="end"/>
            </w:r>
          </w:hyperlink>
        </w:p>
        <w:p w14:paraId="3597F4BE" w14:textId="25362F11" w:rsidR="00544C4C" w:rsidRDefault="00544C4C">
          <w:pPr>
            <w:pStyle w:val="TOC3"/>
            <w:tabs>
              <w:tab w:val="left" w:pos="1440"/>
              <w:tab w:val="right" w:leader="dot" w:pos="9016"/>
            </w:tabs>
            <w:rPr>
              <w:rFonts w:eastAsiaTheme="minorEastAsia"/>
              <w:noProof/>
              <w:lang w:eastAsia="en-IN"/>
            </w:rPr>
          </w:pPr>
          <w:hyperlink w:anchor="_Toc221457053" w:history="1">
            <w:r w:rsidRPr="00B04565">
              <w:rPr>
                <w:rStyle w:val="Hyperlink"/>
                <w:noProof/>
              </w:rPr>
              <w:t>5.1.3</w:t>
            </w:r>
            <w:r>
              <w:rPr>
                <w:rFonts w:eastAsiaTheme="minorEastAsia"/>
                <w:noProof/>
                <w:lang w:eastAsia="en-IN"/>
              </w:rPr>
              <w:tab/>
            </w:r>
            <w:r w:rsidRPr="00B04565">
              <w:rPr>
                <w:rStyle w:val="Hyperlink"/>
                <w:noProof/>
              </w:rPr>
              <w:t>Phase 3 – Core Migration – Translate &amp; Validate</w:t>
            </w:r>
            <w:r>
              <w:rPr>
                <w:noProof/>
                <w:webHidden/>
              </w:rPr>
              <w:tab/>
            </w:r>
            <w:r>
              <w:rPr>
                <w:noProof/>
                <w:webHidden/>
              </w:rPr>
              <w:fldChar w:fldCharType="begin"/>
            </w:r>
            <w:r>
              <w:rPr>
                <w:noProof/>
                <w:webHidden/>
              </w:rPr>
              <w:instrText xml:space="preserve"> PAGEREF _Toc221457053 \h </w:instrText>
            </w:r>
            <w:r>
              <w:rPr>
                <w:noProof/>
                <w:webHidden/>
              </w:rPr>
            </w:r>
            <w:r>
              <w:rPr>
                <w:noProof/>
                <w:webHidden/>
              </w:rPr>
              <w:fldChar w:fldCharType="separate"/>
            </w:r>
            <w:r>
              <w:rPr>
                <w:noProof/>
                <w:webHidden/>
              </w:rPr>
              <w:t>14</w:t>
            </w:r>
            <w:r>
              <w:rPr>
                <w:noProof/>
                <w:webHidden/>
              </w:rPr>
              <w:fldChar w:fldCharType="end"/>
            </w:r>
          </w:hyperlink>
        </w:p>
        <w:p w14:paraId="21950002" w14:textId="7DB4B1E9" w:rsidR="00544C4C" w:rsidRDefault="00544C4C">
          <w:pPr>
            <w:pStyle w:val="TOC3"/>
            <w:tabs>
              <w:tab w:val="left" w:pos="1440"/>
              <w:tab w:val="right" w:leader="dot" w:pos="9016"/>
            </w:tabs>
            <w:rPr>
              <w:rFonts w:eastAsiaTheme="minorEastAsia"/>
              <w:noProof/>
              <w:lang w:eastAsia="en-IN"/>
            </w:rPr>
          </w:pPr>
          <w:hyperlink w:anchor="_Toc221457054" w:history="1">
            <w:r w:rsidRPr="00B04565">
              <w:rPr>
                <w:rStyle w:val="Hyperlink"/>
                <w:noProof/>
              </w:rPr>
              <w:t>5.1.4</w:t>
            </w:r>
            <w:r>
              <w:rPr>
                <w:rFonts w:eastAsiaTheme="minorEastAsia"/>
                <w:noProof/>
                <w:lang w:eastAsia="en-IN"/>
              </w:rPr>
              <w:tab/>
            </w:r>
            <w:r w:rsidRPr="00B04565">
              <w:rPr>
                <w:rStyle w:val="Hyperlink"/>
                <w:noProof/>
              </w:rPr>
              <w:t>Phase 4 – Optimization &amp; Production Cutover</w:t>
            </w:r>
            <w:r>
              <w:rPr>
                <w:noProof/>
                <w:webHidden/>
              </w:rPr>
              <w:tab/>
            </w:r>
            <w:r>
              <w:rPr>
                <w:noProof/>
                <w:webHidden/>
              </w:rPr>
              <w:fldChar w:fldCharType="begin"/>
            </w:r>
            <w:r>
              <w:rPr>
                <w:noProof/>
                <w:webHidden/>
              </w:rPr>
              <w:instrText xml:space="preserve"> PAGEREF _Toc221457054 \h </w:instrText>
            </w:r>
            <w:r>
              <w:rPr>
                <w:noProof/>
                <w:webHidden/>
              </w:rPr>
            </w:r>
            <w:r>
              <w:rPr>
                <w:noProof/>
                <w:webHidden/>
              </w:rPr>
              <w:fldChar w:fldCharType="separate"/>
            </w:r>
            <w:r>
              <w:rPr>
                <w:noProof/>
                <w:webHidden/>
              </w:rPr>
              <w:t>14</w:t>
            </w:r>
            <w:r>
              <w:rPr>
                <w:noProof/>
                <w:webHidden/>
              </w:rPr>
              <w:fldChar w:fldCharType="end"/>
            </w:r>
          </w:hyperlink>
        </w:p>
        <w:p w14:paraId="6C2DFE2D" w14:textId="42DA1A9D" w:rsidR="00544C4C" w:rsidRDefault="00544C4C">
          <w:pPr>
            <w:pStyle w:val="TOC3"/>
            <w:tabs>
              <w:tab w:val="left" w:pos="1440"/>
              <w:tab w:val="right" w:leader="dot" w:pos="9016"/>
            </w:tabs>
            <w:rPr>
              <w:rFonts w:eastAsiaTheme="minorEastAsia"/>
              <w:noProof/>
              <w:lang w:eastAsia="en-IN"/>
            </w:rPr>
          </w:pPr>
          <w:hyperlink w:anchor="_Toc221457055" w:history="1">
            <w:r w:rsidRPr="00B04565">
              <w:rPr>
                <w:rStyle w:val="Hyperlink"/>
                <w:noProof/>
              </w:rPr>
              <w:t>5.1.5</w:t>
            </w:r>
            <w:r>
              <w:rPr>
                <w:rFonts w:eastAsiaTheme="minorEastAsia"/>
                <w:noProof/>
                <w:lang w:eastAsia="en-IN"/>
              </w:rPr>
              <w:tab/>
            </w:r>
            <w:r w:rsidRPr="00B04565">
              <w:rPr>
                <w:rStyle w:val="Hyperlink"/>
                <w:noProof/>
              </w:rPr>
              <w:t>Phase 5 – Handover &amp; Enablement</w:t>
            </w:r>
            <w:r>
              <w:rPr>
                <w:noProof/>
                <w:webHidden/>
              </w:rPr>
              <w:tab/>
            </w:r>
            <w:r>
              <w:rPr>
                <w:noProof/>
                <w:webHidden/>
              </w:rPr>
              <w:fldChar w:fldCharType="begin"/>
            </w:r>
            <w:r>
              <w:rPr>
                <w:noProof/>
                <w:webHidden/>
              </w:rPr>
              <w:instrText xml:space="preserve"> PAGEREF _Toc221457055 \h </w:instrText>
            </w:r>
            <w:r>
              <w:rPr>
                <w:noProof/>
                <w:webHidden/>
              </w:rPr>
            </w:r>
            <w:r>
              <w:rPr>
                <w:noProof/>
                <w:webHidden/>
              </w:rPr>
              <w:fldChar w:fldCharType="separate"/>
            </w:r>
            <w:r>
              <w:rPr>
                <w:noProof/>
                <w:webHidden/>
              </w:rPr>
              <w:t>14</w:t>
            </w:r>
            <w:r>
              <w:rPr>
                <w:noProof/>
                <w:webHidden/>
              </w:rPr>
              <w:fldChar w:fldCharType="end"/>
            </w:r>
          </w:hyperlink>
        </w:p>
        <w:p w14:paraId="3B7D000E" w14:textId="45F04EBA" w:rsidR="00544C4C" w:rsidRDefault="00544C4C">
          <w:pPr>
            <w:pStyle w:val="TOC2"/>
            <w:tabs>
              <w:tab w:val="left" w:pos="960"/>
              <w:tab w:val="right" w:leader="dot" w:pos="9016"/>
            </w:tabs>
            <w:rPr>
              <w:rFonts w:eastAsiaTheme="minorEastAsia"/>
              <w:noProof/>
              <w:lang w:eastAsia="en-IN"/>
            </w:rPr>
          </w:pPr>
          <w:hyperlink w:anchor="_Toc221457056" w:history="1">
            <w:r w:rsidRPr="00B04565">
              <w:rPr>
                <w:rStyle w:val="Hyperlink"/>
                <w:rFonts w:eastAsia="Times New Roman"/>
                <w:noProof/>
                <w:lang w:eastAsia="en-IN"/>
              </w:rPr>
              <w:t>5.2</w:t>
            </w:r>
            <w:r>
              <w:rPr>
                <w:rFonts w:eastAsiaTheme="minorEastAsia"/>
                <w:noProof/>
                <w:lang w:eastAsia="en-IN"/>
              </w:rPr>
              <w:tab/>
            </w:r>
            <w:r w:rsidRPr="00B04565">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_Toc221457056 \h </w:instrText>
            </w:r>
            <w:r>
              <w:rPr>
                <w:noProof/>
                <w:webHidden/>
              </w:rPr>
            </w:r>
            <w:r>
              <w:rPr>
                <w:noProof/>
                <w:webHidden/>
              </w:rPr>
              <w:fldChar w:fldCharType="separate"/>
            </w:r>
            <w:r>
              <w:rPr>
                <w:noProof/>
                <w:webHidden/>
              </w:rPr>
              <w:t>14</w:t>
            </w:r>
            <w:r>
              <w:rPr>
                <w:noProof/>
                <w:webHidden/>
              </w:rPr>
              <w:fldChar w:fldCharType="end"/>
            </w:r>
          </w:hyperlink>
        </w:p>
        <w:p w14:paraId="4577EEBB" w14:textId="0BD74758" w:rsidR="00544C4C" w:rsidRDefault="00544C4C">
          <w:pPr>
            <w:pStyle w:val="TOC2"/>
            <w:tabs>
              <w:tab w:val="left" w:pos="960"/>
              <w:tab w:val="right" w:leader="dot" w:pos="9016"/>
            </w:tabs>
            <w:rPr>
              <w:rFonts w:eastAsiaTheme="minorEastAsia"/>
              <w:noProof/>
              <w:lang w:eastAsia="en-IN"/>
            </w:rPr>
          </w:pPr>
          <w:hyperlink w:anchor="_Toc221457057" w:history="1">
            <w:r w:rsidRPr="00B04565">
              <w:rPr>
                <w:rStyle w:val="Hyperlink"/>
                <w:rFonts w:eastAsia="Times New Roman"/>
                <w:noProof/>
                <w:lang w:eastAsia="en-IN"/>
              </w:rPr>
              <w:t>5.3</w:t>
            </w:r>
            <w:r>
              <w:rPr>
                <w:rFonts w:eastAsiaTheme="minorEastAsia"/>
                <w:noProof/>
                <w:lang w:eastAsia="en-IN"/>
              </w:rPr>
              <w:tab/>
            </w:r>
            <w:r w:rsidRPr="00B04565">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_Toc221457057 \h </w:instrText>
            </w:r>
            <w:r>
              <w:rPr>
                <w:noProof/>
                <w:webHidden/>
              </w:rPr>
            </w:r>
            <w:r>
              <w:rPr>
                <w:noProof/>
                <w:webHidden/>
              </w:rPr>
              <w:fldChar w:fldCharType="separate"/>
            </w:r>
            <w:r>
              <w:rPr>
                <w:noProof/>
                <w:webHidden/>
              </w:rPr>
              <w:t>15</w:t>
            </w:r>
            <w:r>
              <w:rPr>
                <w:noProof/>
                <w:webHidden/>
              </w:rPr>
              <w:fldChar w:fldCharType="end"/>
            </w:r>
          </w:hyperlink>
        </w:p>
        <w:p w14:paraId="250E4704" w14:textId="7EA94898" w:rsidR="00544C4C" w:rsidRDefault="00544C4C">
          <w:pPr>
            <w:pStyle w:val="TOC3"/>
            <w:tabs>
              <w:tab w:val="left" w:pos="1440"/>
              <w:tab w:val="right" w:leader="dot" w:pos="9016"/>
            </w:tabs>
            <w:rPr>
              <w:rFonts w:eastAsiaTheme="minorEastAsia"/>
              <w:noProof/>
              <w:lang w:eastAsia="en-IN"/>
            </w:rPr>
          </w:pPr>
          <w:hyperlink w:anchor="_Toc221457058" w:history="1">
            <w:r w:rsidRPr="00B04565">
              <w:rPr>
                <w:rStyle w:val="Hyperlink"/>
                <w:noProof/>
              </w:rPr>
              <w:t>5.3.1</w:t>
            </w:r>
            <w:r>
              <w:rPr>
                <w:rFonts w:eastAsiaTheme="minorEastAsia"/>
                <w:noProof/>
                <w:lang w:eastAsia="en-IN"/>
              </w:rPr>
              <w:tab/>
            </w:r>
            <w:r w:rsidRPr="00B04565">
              <w:rPr>
                <w:rStyle w:val="Hyperlink"/>
                <w:noProof/>
              </w:rPr>
              <w:t>Operational Efficiency Gains</w:t>
            </w:r>
            <w:r>
              <w:rPr>
                <w:noProof/>
                <w:webHidden/>
              </w:rPr>
              <w:tab/>
            </w:r>
            <w:r>
              <w:rPr>
                <w:noProof/>
                <w:webHidden/>
              </w:rPr>
              <w:fldChar w:fldCharType="begin"/>
            </w:r>
            <w:r>
              <w:rPr>
                <w:noProof/>
                <w:webHidden/>
              </w:rPr>
              <w:instrText xml:space="preserve"> PAGEREF _Toc221457058 \h </w:instrText>
            </w:r>
            <w:r>
              <w:rPr>
                <w:noProof/>
                <w:webHidden/>
              </w:rPr>
            </w:r>
            <w:r>
              <w:rPr>
                <w:noProof/>
                <w:webHidden/>
              </w:rPr>
              <w:fldChar w:fldCharType="separate"/>
            </w:r>
            <w:r>
              <w:rPr>
                <w:noProof/>
                <w:webHidden/>
              </w:rPr>
              <w:t>15</w:t>
            </w:r>
            <w:r>
              <w:rPr>
                <w:noProof/>
                <w:webHidden/>
              </w:rPr>
              <w:fldChar w:fldCharType="end"/>
            </w:r>
          </w:hyperlink>
        </w:p>
        <w:p w14:paraId="2FC71814" w14:textId="691FD1C7" w:rsidR="00544C4C" w:rsidRDefault="00544C4C">
          <w:pPr>
            <w:pStyle w:val="TOC3"/>
            <w:tabs>
              <w:tab w:val="left" w:pos="1440"/>
              <w:tab w:val="right" w:leader="dot" w:pos="9016"/>
            </w:tabs>
            <w:rPr>
              <w:rFonts w:eastAsiaTheme="minorEastAsia"/>
              <w:noProof/>
              <w:lang w:eastAsia="en-IN"/>
            </w:rPr>
          </w:pPr>
          <w:hyperlink w:anchor="_Toc221457059" w:history="1">
            <w:r w:rsidRPr="00B04565">
              <w:rPr>
                <w:rStyle w:val="Hyperlink"/>
                <w:noProof/>
              </w:rPr>
              <w:t>5.3.2</w:t>
            </w:r>
            <w:r>
              <w:rPr>
                <w:rFonts w:eastAsiaTheme="minorEastAsia"/>
                <w:noProof/>
                <w:lang w:eastAsia="en-IN"/>
              </w:rPr>
              <w:tab/>
            </w:r>
            <w:r w:rsidRPr="00B04565">
              <w:rPr>
                <w:rStyle w:val="Hyperlink"/>
                <w:noProof/>
              </w:rPr>
              <w:t>Cost Savings</w:t>
            </w:r>
            <w:r>
              <w:rPr>
                <w:noProof/>
                <w:webHidden/>
              </w:rPr>
              <w:tab/>
            </w:r>
            <w:r>
              <w:rPr>
                <w:noProof/>
                <w:webHidden/>
              </w:rPr>
              <w:fldChar w:fldCharType="begin"/>
            </w:r>
            <w:r>
              <w:rPr>
                <w:noProof/>
                <w:webHidden/>
              </w:rPr>
              <w:instrText xml:space="preserve"> PAGEREF _Toc221457059 \h </w:instrText>
            </w:r>
            <w:r>
              <w:rPr>
                <w:noProof/>
                <w:webHidden/>
              </w:rPr>
            </w:r>
            <w:r>
              <w:rPr>
                <w:noProof/>
                <w:webHidden/>
              </w:rPr>
              <w:fldChar w:fldCharType="separate"/>
            </w:r>
            <w:r>
              <w:rPr>
                <w:noProof/>
                <w:webHidden/>
              </w:rPr>
              <w:t>15</w:t>
            </w:r>
            <w:r>
              <w:rPr>
                <w:noProof/>
                <w:webHidden/>
              </w:rPr>
              <w:fldChar w:fldCharType="end"/>
            </w:r>
          </w:hyperlink>
        </w:p>
        <w:p w14:paraId="03F396E1" w14:textId="49FFE9DF" w:rsidR="00544C4C" w:rsidRDefault="00544C4C">
          <w:pPr>
            <w:pStyle w:val="TOC3"/>
            <w:tabs>
              <w:tab w:val="left" w:pos="1440"/>
              <w:tab w:val="right" w:leader="dot" w:pos="9016"/>
            </w:tabs>
            <w:rPr>
              <w:rFonts w:eastAsiaTheme="minorEastAsia"/>
              <w:noProof/>
              <w:lang w:eastAsia="en-IN"/>
            </w:rPr>
          </w:pPr>
          <w:hyperlink w:anchor="_Toc221457060" w:history="1">
            <w:r w:rsidRPr="00B04565">
              <w:rPr>
                <w:rStyle w:val="Hyperlink"/>
                <w:noProof/>
              </w:rPr>
              <w:t>5.3.3</w:t>
            </w:r>
            <w:r>
              <w:rPr>
                <w:rFonts w:eastAsiaTheme="minorEastAsia"/>
                <w:noProof/>
                <w:lang w:eastAsia="en-IN"/>
              </w:rPr>
              <w:tab/>
            </w:r>
            <w:r w:rsidRPr="00B04565">
              <w:rPr>
                <w:rStyle w:val="Hyperlink"/>
                <w:noProof/>
              </w:rPr>
              <w:t>Risk Reduction</w:t>
            </w:r>
            <w:r>
              <w:rPr>
                <w:noProof/>
                <w:webHidden/>
              </w:rPr>
              <w:tab/>
            </w:r>
            <w:r>
              <w:rPr>
                <w:noProof/>
                <w:webHidden/>
              </w:rPr>
              <w:fldChar w:fldCharType="begin"/>
            </w:r>
            <w:r>
              <w:rPr>
                <w:noProof/>
                <w:webHidden/>
              </w:rPr>
              <w:instrText xml:space="preserve"> PAGEREF _Toc221457060 \h </w:instrText>
            </w:r>
            <w:r>
              <w:rPr>
                <w:noProof/>
                <w:webHidden/>
              </w:rPr>
            </w:r>
            <w:r>
              <w:rPr>
                <w:noProof/>
                <w:webHidden/>
              </w:rPr>
              <w:fldChar w:fldCharType="separate"/>
            </w:r>
            <w:r>
              <w:rPr>
                <w:noProof/>
                <w:webHidden/>
              </w:rPr>
              <w:t>15</w:t>
            </w:r>
            <w:r>
              <w:rPr>
                <w:noProof/>
                <w:webHidden/>
              </w:rPr>
              <w:fldChar w:fldCharType="end"/>
            </w:r>
          </w:hyperlink>
        </w:p>
        <w:p w14:paraId="32EFE086" w14:textId="38188C9A" w:rsidR="00544C4C" w:rsidRDefault="00544C4C">
          <w:pPr>
            <w:pStyle w:val="TOC1"/>
            <w:tabs>
              <w:tab w:val="left" w:pos="480"/>
              <w:tab w:val="right" w:leader="dot" w:pos="9016"/>
            </w:tabs>
            <w:rPr>
              <w:rFonts w:eastAsiaTheme="minorEastAsia"/>
              <w:noProof/>
              <w:lang w:eastAsia="en-IN"/>
            </w:rPr>
          </w:pPr>
          <w:hyperlink w:anchor="_Toc221457061" w:history="1">
            <w:r w:rsidRPr="00B04565">
              <w:rPr>
                <w:rStyle w:val="Hyperlink"/>
                <w:rFonts w:eastAsia="Times New Roman"/>
                <w:noProof/>
                <w:lang w:eastAsia="en-IN"/>
              </w:rPr>
              <w:t>6.</w:t>
            </w:r>
            <w:r>
              <w:rPr>
                <w:rFonts w:eastAsiaTheme="minorEastAsia"/>
                <w:noProof/>
                <w:lang w:eastAsia="en-IN"/>
              </w:rPr>
              <w:tab/>
            </w:r>
            <w:r w:rsidRPr="00B04565">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_Toc221457061 \h </w:instrText>
            </w:r>
            <w:r>
              <w:rPr>
                <w:noProof/>
                <w:webHidden/>
              </w:rPr>
            </w:r>
            <w:r>
              <w:rPr>
                <w:noProof/>
                <w:webHidden/>
              </w:rPr>
              <w:fldChar w:fldCharType="separate"/>
            </w:r>
            <w:r>
              <w:rPr>
                <w:noProof/>
                <w:webHidden/>
              </w:rPr>
              <w:t>16</w:t>
            </w:r>
            <w:r>
              <w:rPr>
                <w:noProof/>
                <w:webHidden/>
              </w:rPr>
              <w:fldChar w:fldCharType="end"/>
            </w:r>
          </w:hyperlink>
        </w:p>
        <w:p w14:paraId="378543A8" w14:textId="6A7DFBE6" w:rsidR="00544C4C" w:rsidRDefault="00544C4C">
          <w:pPr>
            <w:pStyle w:val="TOC1"/>
            <w:tabs>
              <w:tab w:val="left" w:pos="480"/>
              <w:tab w:val="right" w:leader="dot" w:pos="9016"/>
            </w:tabs>
            <w:rPr>
              <w:rFonts w:eastAsiaTheme="minorEastAsia"/>
              <w:noProof/>
              <w:lang w:eastAsia="en-IN"/>
            </w:rPr>
          </w:pPr>
          <w:hyperlink w:anchor="_Toc221457062" w:history="1">
            <w:r w:rsidRPr="00B04565">
              <w:rPr>
                <w:rStyle w:val="Hyperlink"/>
                <w:rFonts w:eastAsia="Times New Roman"/>
                <w:noProof/>
                <w:lang w:eastAsia="en-IN"/>
              </w:rPr>
              <w:t>7.</w:t>
            </w:r>
            <w:r>
              <w:rPr>
                <w:rFonts w:eastAsiaTheme="minorEastAsia"/>
                <w:noProof/>
                <w:lang w:eastAsia="en-IN"/>
              </w:rPr>
              <w:tab/>
            </w:r>
            <w:r w:rsidRPr="00B04565">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_Toc221457062 \h </w:instrText>
            </w:r>
            <w:r>
              <w:rPr>
                <w:noProof/>
                <w:webHidden/>
              </w:rPr>
            </w:r>
            <w:r>
              <w:rPr>
                <w:noProof/>
                <w:webHidden/>
              </w:rPr>
              <w:fldChar w:fldCharType="separate"/>
            </w:r>
            <w:r>
              <w:rPr>
                <w:noProof/>
                <w:webHidden/>
              </w:rPr>
              <w:t>16</w:t>
            </w:r>
            <w:r>
              <w:rPr>
                <w:noProof/>
                <w:webHidden/>
              </w:rPr>
              <w:fldChar w:fldCharType="end"/>
            </w:r>
          </w:hyperlink>
        </w:p>
        <w:p w14:paraId="670C926F" w14:textId="0E8148BE" w:rsidR="00F23A82" w:rsidRDefault="00F23A82">
          <w:r>
            <w:rPr>
              <w:b/>
              <w:bCs/>
              <w:noProof/>
            </w:rPr>
            <w:fldChar w:fldCharType="end"/>
          </w:r>
        </w:p>
      </w:sdtContent>
    </w:sdt>
    <w:p>
      <w:pPr/>
    </w:p>
    <w:p>
      <w:pPr/>
    </w:p>
    <w:p>
      <w:pPr/>
    </w:p>
    <w:p>
      <w:pPr/>
    </w:p>
    <w:p>
      <w:pPr/>
    </w:p>
    <w:p>
      <w:pPr/>
    </w:p>
    <w:p>
      <w:pPr>
        <w:pStyle w:val="Title"/>
        <w:jc w:val="left"/>
      </w:pPr>
      <w:r>
        <w:rPr>
          <w:color w:val="0F4761"/>
          <w:sz w:val="56"/>
        </w:rPr>
        <w:t>Sales Collateral – Identify Pain</w:t>
      </w:r>
    </w:p>
    <w:p>
      <w:pPr/>
    </w:p>
    <w:p>
      <w:pPr>
        <w:pStyle w:val="Title"/>
        <w:jc w:val="left"/>
      </w:pPr>
      <w:r>
        <w:rPr>
          <w:b/>
          <w:color w:val="0F4761"/>
          <w:sz w:val="72"/>
        </w:rPr>
        <w:t>Cost of Inaction Analysis</w:t>
      </w:r>
    </w:p>
    <w:p>
      <w:pPr/>
    </w:p>
    <w:p>
      <w:pPr>
        <w:jc w:val="left"/>
      </w:pPr>
      <w:r>
        <w:rPr>
          <w:i/>
          <w:color w:val="595959"/>
          <w:sz w:val="28"/>
        </w:rPr>
        <w:t>What Happens When Modernization Is Delayed</w:t>
      </w:r>
    </w:p>
    <w:p>
      <w:pPr/>
    </w:p>
    <w:p>
      <w:pPr/>
    </w:p>
    <w:p>
      <w:pPr/>
    </w:p>
    <w:p>
      <w:pPr/>
    </w:p>
    <w:p>
      <w:pPr/>
    </w:p>
    <w:p>
      <w:pPr/>
    </w:p>
    <w:p>
      <w:pPr/>
    </w:p>
    <w:p>
      <w:pPr/>
    </w:p>
    <w:p>
      <w:pPr>
        <w:jc w:val="left"/>
      </w:pPr>
      <w:r>
        <w:rPr>
          <w:b/>
          <w:color w:val="0F4761"/>
          <w:sz w:val="28"/>
        </w:rPr>
        <w:t>Mastech Digital</w:t>
      </w:r>
    </w:p>
    <w:p>
      <w:pPr/>
      <w:r>
        <w:rPr>
          <w:color w:val="595959"/>
          <w:sz w:val="24"/>
        </w:rPr>
        <w:t>Snowflake Practice</w:t>
      </w:r>
    </w:p>
    <w:p>
      <w:r>
        <w:br w:type="page"/>
      </w:r>
    </w:p>
    <w:p>
      <w:pPr>
        <w:pStyle w:val="Heading1"/>
      </w:pPr>
      <w:r>
        <w:t>Executive Summary</w:t>
      </w:r>
    </w:p>
    <w:p>
      <w:pPr>
        <w:spacing w:after="120"/>
      </w:pPr>
      <w:r>
        <w:t>The decision not to modernize legacy data infrastructure is not a neutral decision. It is, in fact, one of the most expensive decisions an organization can make. Every quarter that an enterprise delays migration from legacy platforms to a modern Snowflake-powered architecture, it incurs compounding costs across financial, operational, and strategic dimensions. These costs are not theoretical—they are quantifiable, material, and growing at accelerating rates.</w:t>
      </w:r>
    </w:p>
    <w:p>
      <w:pPr>
        <w:spacing w:after="120"/>
      </w:pPr>
      <w:r>
        <w:t>This Cost of Inaction Analysis provides a rigorous framework for quantifying what happens when modernization is delayed. It examines the financial costs (escalating licensing, infrastructure refresh cycles, maintenance labor), operational costs (pipeline fragility, data quality degradation, BI bottlenecks, model deployment failures, reactive operations), and strategic costs (competitive disadvantage, talent attrition, regulatory exposure, innovation paralysis). The cumulative three-year cost of inaction for a typical enterprise ranges from $8M to $30M—a figure that makes the investment in modernization appear not as an expense, but as the most prudent allocation of resources available.</w:t>
      </w:r>
    </w:p>
    <w:p>
      <w:pPr>
        <w:spacing w:after="120"/>
      </w:pPr>
      <w:r>
        <w:t>This document is designed to be used by Mastech Digital’s sales teams as a conversation catalyst with executive stakeholders. When a client is hesitant to act, this analysis reframes the conversation from ‘Can we afford to modernize?’ to ‘Can we afford not to?’ The data consistently demonstrates that the cost of inaction exceeds the cost of action by a factor of 3–5x over a three-year horizon. Organizations that modernize now lock in lower costs, better talent access, and competitive advantage. Those that delay face escalating costs, diminishing options, and increasing risk.</w:t>
      </w:r>
    </w:p>
    <w:p>
      <w:pPr>
        <w:pStyle w:val="Heading1"/>
      </w:pPr>
      <w:r>
        <w:t>The Inaction Paradox</w:t>
      </w:r>
    </w:p>
    <w:p>
      <w:pPr>
        <w:spacing w:after="120"/>
      </w:pPr>
      <w:r>
        <w:t>Despite overwhelming evidence that legacy data platforms are becoming more expensive, more risky, and less capable with each passing year, many organizations continue to delay modernization. This creates what we call the Inaction Paradox: the longer an organization waits to modernize, the more compelling the case for modernization becomes—yet the same factors that make modernization more urgent also make it feel more daunting. Understanding this paradox is essential for sales teams seeking to help clients break through the inertia that keeps them anchored to legacy platforms.</w:t>
      </w:r>
    </w:p>
    <w:p>
      <w:pPr>
        <w:pStyle w:val="Heading2"/>
      </w:pPr>
      <w:r>
        <w:t>Why Organizations Delay</w:t>
      </w:r>
    </w:p>
    <w:p>
      <w:pPr>
        <w:spacing w:after="120"/>
      </w:pPr>
      <w:r>
        <w:t>The reasons organizations delay modernization are predictable and addressable. Understanding these barriers allows sales teams to proactively address concerns and reframe the decision calculus.</w:t>
      </w:r>
    </w:p>
    <w:p>
      <w:pPr>
        <w:pStyle w:val="ListParagraph"/>
      </w:pPr>
      <w:r>
        <w:rPr>
          <w:b/>
          <w:sz w:val="22"/>
        </w:rPr>
        <w:t xml:space="preserve">Perceived Migration Risk: </w:t>
      </w:r>
      <w:r>
        <w:rPr>
          <w:sz w:val="22"/>
        </w:rPr>
        <w:t>Executives fear that migration will disrupt business operations, corrupt data, or break critical business logic. This fear is often rooted in previous failed migration attempts or industry horror stories. Mastech’s SLM-powered approach directly addresses this concern with automated business logic preservation and validation that achieves 100% fidelity.</w:t>
      </w:r>
    </w:p>
    <w:p>
      <w:pPr>
        <w:pStyle w:val="ListParagraph"/>
      </w:pPr>
      <w:r>
        <w:rPr>
          <w:b/>
          <w:sz w:val="22"/>
        </w:rPr>
        <w:t xml:space="preserve">Sunk Cost Fallacy: </w:t>
      </w:r>
      <w:r>
        <w:rPr>
          <w:sz w:val="22"/>
        </w:rPr>
        <w:t>Organizations that have invested millions in legacy platform licenses, customizations, and training are reluctant to walk away from that investment. The sunk cost fallacy leads decision-makers to continue investing in declining platforms rather than redirecting capital toward modern alternatives with superior returns.</w:t>
      </w:r>
    </w:p>
    <w:p>
      <w:pPr>
        <w:pStyle w:val="ListParagraph"/>
      </w:pPr>
      <w:r>
        <w:rPr>
          <w:b/>
          <w:sz w:val="22"/>
        </w:rPr>
        <w:t xml:space="preserve">Budget Constraints: </w:t>
      </w:r>
      <w:r>
        <w:rPr>
          <w:sz w:val="22"/>
        </w:rPr>
        <w:t>Ironically, the 80% of IT budget consumed by legacy maintenance leaves insufficient resources for modernization initiatives. This creates a trap: the legacy systems consume the budget that would be needed to replace them. Breaking this cycle requires reframing modernization not as an additional cost, but as an investment that reduces the cost base.</w:t>
      </w:r>
    </w:p>
    <w:p>
      <w:pPr>
        <w:pStyle w:val="ListParagraph"/>
      </w:pPr>
      <w:r>
        <w:rPr>
          <w:b/>
          <w:sz w:val="22"/>
        </w:rPr>
        <w:t xml:space="preserve">Organizational Inertia: </w:t>
      </w:r>
      <w:r>
        <w:rPr>
          <w:sz w:val="22"/>
        </w:rPr>
        <w:t>Large enterprises are inherently resistant to change. The processes, skills, and organizational structures built around legacy platforms create institutional inertia that resists transformation. Key stakeholders whose careers are tied to legacy platforms may actively or passively resist modernization efforts.</w:t>
      </w:r>
    </w:p>
    <w:p>
      <w:pPr>
        <w:pStyle w:val="ListParagraph"/>
      </w:pPr>
      <w:r>
        <w:rPr>
          <w:b/>
          <w:sz w:val="22"/>
        </w:rPr>
        <w:t xml:space="preserve">Lack of Urgency: </w:t>
      </w:r>
      <w:r>
        <w:rPr>
          <w:sz w:val="22"/>
        </w:rPr>
        <w:t>When legacy platforms are working—even if inefficiently and expensively—there is no burning platform to force action. The costs of inaction are distributed across multiple budget lines and organizational functions, making them invisible in aggregate. This document’s purpose is to make those costs visible and urgent.</w:t>
      </w:r>
    </w:p>
    <w:p>
      <w:pPr>
        <w:pStyle w:val="Heading2"/>
      </w:pPr>
      <w:r>
        <w:t>Why Delay Makes It Worse</w:t>
      </w:r>
    </w:p>
    <w:p>
      <w:pPr>
        <w:spacing w:after="120"/>
      </w:pPr>
      <w:r>
        <w:t>Each of the factors that cause delay also intensifies with time, creating a compounding effect that makes the eventual modernization more expensive and more disruptive.</w:t>
      </w:r>
    </w:p>
    <w:p>
      <w:pPr>
        <w:pStyle w:val="ListParagraph"/>
      </w:pPr>
      <w:r>
        <w:rPr>
          <w:b/>
          <w:sz w:val="22"/>
        </w:rPr>
        <w:t xml:space="preserve">Cost Compounding: </w:t>
      </w:r>
      <w:r>
        <w:rPr>
          <w:sz w:val="22"/>
        </w:rPr>
        <w:t>Legacy licensing costs escalate 5–15% annually. A $1M annual license becomes $1.6M–$2.0M within five years. Meanwhile, the modern alternative (Snowflake) benefits from cloud economics with deflationary cost trends. Every year of delay widens the gap between legacy costs and modern platform costs.</w:t>
      </w:r>
    </w:p>
    <w:p>
      <w:pPr>
        <w:pStyle w:val="ListParagraph"/>
      </w:pPr>
      <w:r>
        <w:rPr>
          <w:b/>
          <w:sz w:val="22"/>
        </w:rPr>
        <w:t xml:space="preserve">Talent Erosion: </w:t>
      </w:r>
      <w:r>
        <w:rPr>
          <w:sz w:val="22"/>
        </w:rPr>
        <w:t>Legacy talent pools shrink 15–20% annually as practitioners retire or transition to modern platforms. Delaying modernization means the migration—when it eventually occurs—will be executed by a smaller, more expensive pool of available specialists, or will require more automation to compensate for talent scarcity.</w:t>
      </w:r>
    </w:p>
    <w:p>
      <w:pPr>
        <w:pStyle w:val="ListParagraph"/>
      </w:pPr>
      <w:r>
        <w:rPr>
          <w:b/>
          <w:sz w:val="22"/>
        </w:rPr>
        <w:t xml:space="preserve">Technical Complexity Growth: </w:t>
      </w:r>
      <w:r>
        <w:rPr>
          <w:sz w:val="22"/>
        </w:rPr>
        <w:t>Every day that legacy systems operate, they accumulate more data, more custom code, more dependencies, and more undocumented business logic. The migration scope and complexity grow linearly with time, while the risks and costs of migration grow geometrically.</w:t>
      </w:r>
    </w:p>
    <w:p>
      <w:pPr>
        <w:pStyle w:val="ListParagraph"/>
      </w:pPr>
      <w:r>
        <w:rPr>
          <w:b/>
          <w:sz w:val="22"/>
        </w:rPr>
        <w:t xml:space="preserve">Competitive Gap Widening: </w:t>
      </w:r>
      <w:r>
        <w:rPr>
          <w:sz w:val="22"/>
        </w:rPr>
        <w:t>As industry peers modernize their data platforms, the performance gap between modern and legacy organizations widens. Organizations that delay face an increasingly steep climb to reach competitive parity, let alone competitive advantage.</w:t>
      </w:r>
    </w:p>
    <w:p>
      <w:pPr>
        <w:pStyle w:val="Heading1"/>
      </w:pPr>
      <w:r>
        <w:t>Financial Cost of Inaction</w:t>
      </w:r>
    </w:p>
    <w:p>
      <w:pPr>
        <w:spacing w:after="120"/>
      </w:pPr>
      <w:r>
        <w:t>The financial costs of maintaining legacy data infrastructure are the most tangible and directly measurable components of the Cost of Inaction. These costs appear on budget line items, vendor invoices, and headcount reports—making them compelling data points for CFO-level conversations. The following analysis quantifies the major financial cost drivers that escalate with each year of delayed modernization.</w:t>
      </w:r>
    </w:p>
    <w:p>
      <w:pPr>
        <w:pStyle w:val="Heading2"/>
      </w:pPr>
      <w:r>
        <w:t>Year-over-Year Licensing Escalation</w:t>
      </w:r>
    </w:p>
    <w:p>
      <w:pPr>
        <w:spacing w:after="120"/>
      </w:pPr>
      <w:r>
        <w:t>Legacy platform vendors have established a consistent pattern of annual licensing escalation that significantly exceeds inflation and general IT cost trends. Organizations locked into proprietary platforms have limited leverage to negotiate these increases, as the switching costs are perceived to exceed the cost of accepting the increases.</w:t>
      </w:r>
    </w:p>
    <w:p>
      <w:pPr>
        <w:pStyle w:val="ListParagraph"/>
      </w:pPr>
      <w:r>
        <w:rPr>
          <w:b/>
          <w:sz w:val="22"/>
        </w:rPr>
        <w:t xml:space="preserve">Teradata Licensing: </w:t>
      </w:r>
      <w:r>
        <w:rPr>
          <w:sz w:val="22"/>
        </w:rPr>
        <w:t>Annual escalation of 8–15% per renewal cycle. A $1.5M annual license escalates to approximately $1.73M at Year 2 and $1.98M at Year 3, assuming a conservative 10% annual increase. Over three years, the cumulative licensing cost is $5.21M versus $4.5M at flat pricing—an excess of $710K attributable directly to inaction.</w:t>
      </w:r>
    </w:p>
    <w:p>
      <w:pPr>
        <w:pStyle w:val="ListParagraph"/>
      </w:pPr>
      <w:r>
        <w:rPr>
          <w:b/>
          <w:sz w:val="22"/>
        </w:rPr>
        <w:t xml:space="preserve">Informatica Licensing: </w:t>
      </w:r>
      <w:r>
        <w:rPr>
          <w:sz w:val="22"/>
        </w:rPr>
        <w:t>Annual escalation of 10–12% for PowerCenter licenses, with additional costs for cloud connectors and IICS migration paths. A $600K annual license reaches $740K within two years and $825K within three years, with cumulative three-year excess cost of $365K versus flat pricing.</w:t>
      </w:r>
    </w:p>
    <w:p>
      <w:pPr>
        <w:pStyle w:val="ListParagraph"/>
      </w:pPr>
      <w:r>
        <w:rPr>
          <w:b/>
          <w:sz w:val="22"/>
        </w:rPr>
        <w:t xml:space="preserve">SAS Licensing: </w:t>
      </w:r>
      <w:r>
        <w:rPr>
          <w:sz w:val="22"/>
        </w:rPr>
        <w:t>Annual escalation of 5–10% for enterprise site licenses. SAS’s premium pricing for advanced analytics modules means that even modest escalation percentages translate to significant absolute dollar increases. A $1M annual SAS license can reach $1.33M within three years at 10% escalation.</w:t>
      </w:r>
    </w:p>
    <w:p>
      <w:pPr>
        <w:pStyle w:val="ListParagraph"/>
      </w:pPr>
      <w:r>
        <w:rPr>
          <w:b/>
          <w:sz w:val="22"/>
        </w:rPr>
        <w:t xml:space="preserve">Cumulative Licensing Escalation: </w:t>
      </w:r>
      <w:r>
        <w:rPr>
          <w:sz w:val="22"/>
        </w:rPr>
        <w:t>For a typical enterprise with $2.5M in combined legacy licensing, 10% annual escalation generates $1.3M in excess licensing costs over three years compared to flat pricing. This excess alone often exceeds the cost of a Mastech modernization engagement.</w:t>
      </w:r>
    </w:p>
    <w:p>
      <w:pPr>
        <w:pStyle w:val="Heading2"/>
      </w:pPr>
      <w:r>
        <w:t>Infrastructure Refresh Costs</w:t>
      </w:r>
    </w:p>
    <w:p>
      <w:pPr>
        <w:spacing w:after="120"/>
      </w:pPr>
      <w:r>
        <w:t>On-premises data infrastructure requires periodic hardware refreshes that represent significant capital expenditure. These refresh cycles are non-negotiable—hardware reaches end-of-life, warranties expire, and performance degrades to the point where replacement is unavoidable.</w:t>
      </w:r>
    </w:p>
    <w:p>
      <w:pPr>
        <w:pStyle w:val="ListParagraph"/>
      </w:pPr>
      <w:r>
        <w:rPr>
          <w:b/>
          <w:sz w:val="22"/>
        </w:rPr>
        <w:t xml:space="preserve">Data Warehouse Appliance Refresh: </w:t>
      </w:r>
      <w:r>
        <w:rPr>
          <w:sz w:val="22"/>
        </w:rPr>
        <w:t>Teradata, Netezza, and Oracle Exadata appliances require replacement every 4–5 years at costs of $2–5M per refresh cycle. Organizations in the late stages of a hardware cycle face an imminent capital expenditure that could instead be redirected toward cloud migration.</w:t>
      </w:r>
    </w:p>
    <w:p>
      <w:pPr>
        <w:pStyle w:val="ListParagraph"/>
      </w:pPr>
      <w:r>
        <w:rPr>
          <w:b/>
          <w:sz w:val="22"/>
        </w:rPr>
        <w:t xml:space="preserve">Hadoop Cluster Refresh: </w:t>
      </w:r>
      <w:r>
        <w:rPr>
          <w:sz w:val="22"/>
        </w:rPr>
        <w:t>Hadoop clusters built on commodity hardware experience individual node failures at increasing rates as hardware ages. Cluster-wide refreshes cost $1–3M depending on cluster size, plus significant engineering effort for data rebalancing and validation.</w:t>
      </w:r>
    </w:p>
    <w:p>
      <w:pPr>
        <w:pStyle w:val="ListParagraph"/>
      </w:pPr>
      <w:r>
        <w:rPr>
          <w:b/>
          <w:sz w:val="22"/>
        </w:rPr>
        <w:t xml:space="preserve">Data Center Costs: </w:t>
      </w:r>
      <w:r>
        <w:rPr>
          <w:sz w:val="22"/>
        </w:rPr>
        <w:t>On-premises infrastructure carries ongoing data center costs for power, cooling, physical security, and network connectivity. These costs typically add 15–25% to the raw hardware cost annually and are eliminated entirely in cloud-native deployments.</w:t>
      </w:r>
    </w:p>
    <w:p>
      <w:pPr>
        <w:pStyle w:val="Heading2"/>
      </w:pPr>
      <w:r>
        <w:t>Growing Maintenance Headcount</w:t>
      </w:r>
    </w:p>
    <w:p>
      <w:pPr>
        <w:spacing w:after="120"/>
      </w:pPr>
      <w:r>
        <w:t>As legacy platforms age, they require increasingly more human attention to maintain. The maintenance burden grows as systems become more complex, documentation becomes more outdated, and the remaining maintenance team carries the knowledge load of departed colleagues.</w:t>
      </w:r>
    </w:p>
    <w:p>
      <w:pPr>
        <w:pStyle w:val="ListParagraph"/>
      </w:pPr>
      <w:r>
        <w:rPr>
          <w:b/>
          <w:sz w:val="22"/>
        </w:rPr>
        <w:t xml:space="preserve">Maintenance FTE Growth: </w:t>
      </w:r>
      <w:r>
        <w:rPr>
          <w:sz w:val="22"/>
        </w:rPr>
        <w:t>Organizations typically see 5–10% annual growth in maintenance FTE requirements for legacy platforms as systems age and complexity increases. A team of 10 maintenance FTEs grows to 11–12 FTEs within two years, with each FTE costing $140K–$180K fully loaded.</w:t>
      </w:r>
    </w:p>
    <w:p>
      <w:pPr>
        <w:pStyle w:val="ListParagraph"/>
      </w:pPr>
      <w:r>
        <w:rPr>
          <w:b/>
          <w:sz w:val="22"/>
        </w:rPr>
        <w:t xml:space="preserve">80% Maintenance Ratio: </w:t>
      </w:r>
      <w:r>
        <w:rPr>
          <w:sz w:val="22"/>
        </w:rPr>
        <w:t>Industry benchmarks consistently show that organizations with legacy data infrastructure spend 80% or more of their data team’s time on maintenance. For a 30-person data team at $150K average fully-loaded cost, this translates to $3.6M annually spent on maintaining the status quo rather than building new capabilities.</w:t>
      </w:r>
    </w:p>
    <w:p>
      <w:pPr>
        <w:pStyle w:val="ListParagraph"/>
      </w:pPr>
      <w:r>
        <w:rPr>
          <w:b/>
          <w:sz w:val="22"/>
        </w:rPr>
        <w:t xml:space="preserve">Contractor Premium: </w:t>
      </w:r>
      <w:r>
        <w:rPr>
          <w:sz w:val="22"/>
        </w:rPr>
        <w:t>As internal legacy skills erode, organizations increasingly rely on contractors and consultants at premium rates. Legacy platform contractors typically command $150–250/hour, compared to $100–175/hour for modern platform professionals. This premium grows as the talent pool shrinks.</w:t>
      </w:r>
    </w:p>
    <w:p>
      <w:pPr>
        <w:pStyle w:val="Heading2"/>
      </w:pPr>
      <w:r>
        <w:t>Opportunity Cost of Unrealized AI/ML Capabilities</w:t>
      </w:r>
    </w:p>
    <w:p>
      <w:pPr>
        <w:spacing w:after="120"/>
      </w:pPr>
      <w:r>
        <w:t>Perhaps the largest financial cost of inaction is the value of AI/ML capabilities that the organization cannot realize while constrained by legacy platforms. These opportunity costs are inherently more difficult to quantify than direct costs, but they are often the most material.</w:t>
      </w:r>
    </w:p>
    <w:p>
      <w:pPr>
        <w:pStyle w:val="ListParagraph"/>
      </w:pPr>
      <w:r>
        <w:rPr>
          <w:b/>
          <w:sz w:val="22"/>
        </w:rPr>
        <w:t xml:space="preserve">Revenue Enhancement Opportunities: </w:t>
      </w:r>
      <w:r>
        <w:rPr>
          <w:sz w:val="22"/>
        </w:rPr>
        <w:t>AI-driven personalization, dynamic pricing, and demand forecasting capabilities can generate 1–3% revenue uplift for large enterprises. For a $1B-revenue organization, this represents $10–30M annually in foregone revenue—a figure that dwarfs the cost of modernization.</w:t>
      </w:r>
    </w:p>
    <w:p>
      <w:pPr>
        <w:pStyle w:val="ListParagraph"/>
      </w:pPr>
      <w:r>
        <w:rPr>
          <w:b/>
          <w:sz w:val="22"/>
        </w:rPr>
        <w:t xml:space="preserve">Operational Efficiency Opportunities: </w:t>
      </w:r>
      <w:r>
        <w:rPr>
          <w:sz w:val="22"/>
        </w:rPr>
        <w:t>ML-driven process optimization, predictive maintenance, and intelligent automation can reduce operational costs by 10–20% in targeted functions. Organizations on legacy platforms cannot deploy these capabilities at scale.</w:t>
      </w:r>
    </w:p>
    <w:p>
      <w:pPr>
        <w:pStyle w:val="ListParagraph"/>
      </w:pPr>
      <w:r>
        <w:rPr>
          <w:b/>
          <w:sz w:val="22"/>
        </w:rPr>
        <w:t xml:space="preserve">Customer Experience Opportunities: </w:t>
      </w:r>
      <w:r>
        <w:rPr>
          <w:sz w:val="22"/>
        </w:rPr>
        <w:t>Real-time analytics, next-best-action engines, and AI-powered customer service capabilities drive measurable improvements in customer satisfaction, retention, and lifetime value. Legacy platforms cannot support the low-latency, high-throughput data pipelines these use cases require.</w:t>
      </w:r>
    </w:p>
    <w:p>
      <w:pPr>
        <w:pStyle w:val="Heading1"/>
      </w:pPr>
      <w:r>
        <w:t>Operational Cost of Inaction</w:t>
      </w:r>
    </w:p>
    <w:p>
      <w:pPr>
        <w:spacing w:after="120"/>
      </w:pPr>
      <w:r>
        <w:t>Operational costs of inaction are felt daily by the data teams, analysts, and business users who depend on the organization’s data infrastructure. While financial costs appear on budget reports, operational costs manifest as lost productivity, frustrated teams, degraded data quality, and an inability to serve the business at the speed and scale it demands. These operational costs directly impact employee morale, talent retention, and organizational agility.</w:t>
      </w:r>
    </w:p>
    <w:p>
      <w:pPr>
        <w:pStyle w:val="Heading2"/>
      </w:pPr>
      <w:r>
        <w:t>Manual Pipeline Maintenance Consuming Engineering Talent</w:t>
      </w:r>
    </w:p>
    <w:p>
      <w:pPr>
        <w:spacing w:after="120"/>
      </w:pPr>
      <w:r>
        <w:t>Data engineering teams operating legacy ETL platforms spend a disproportionate share of their time on maintaining existing pipelines rather than building new capabilities. This maintenance burden is not merely an inconvenience—it is a strategic liability that prevents the organization from executing on data-driven initiatives.</w:t>
      </w:r>
    </w:p>
    <w:p>
      <w:pPr>
        <w:pStyle w:val="ListParagraph"/>
      </w:pPr>
      <w:r>
        <w:rPr>
          <w:b/>
          <w:sz w:val="22"/>
        </w:rPr>
        <w:t xml:space="preserve">Maintenance Time Allocation: </w:t>
      </w:r>
      <w:r>
        <w:rPr>
          <w:sz w:val="22"/>
        </w:rPr>
        <w:t>Data engineering teams on legacy platforms report spending 70–85% of their time on pipeline maintenance, troubleshooting, and incident response. For a 15-person team, this means only 2–4 FTE-equivalents are available for new development—a fraction of the innovation capacity the organization needs.</w:t>
      </w:r>
    </w:p>
    <w:p>
      <w:pPr>
        <w:pStyle w:val="ListParagraph"/>
      </w:pPr>
      <w:r>
        <w:rPr>
          <w:b/>
          <w:sz w:val="22"/>
        </w:rPr>
        <w:t xml:space="preserve">Pipeline Fragility: </w:t>
      </w:r>
      <w:r>
        <w:rPr>
          <w:sz w:val="22"/>
        </w:rPr>
        <w:t>Legacy pipelines built on aging ETL tools become increasingly fragile as source systems change, data volumes grow, and undocumented dependencies multiply. Each pipeline failure triggers a cascade of investigation, remediation, and validation that consumes engineering hours and delays downstream data delivery.</w:t>
      </w:r>
    </w:p>
    <w:p>
      <w:pPr>
        <w:pStyle w:val="ListParagraph"/>
      </w:pPr>
      <w:r>
        <w:rPr>
          <w:b/>
          <w:sz w:val="22"/>
        </w:rPr>
        <w:t xml:space="preserve">Manual Error Introduction: </w:t>
      </w:r>
      <w:r>
        <w:rPr>
          <w:sz w:val="22"/>
        </w:rPr>
        <w:t>Without automated testing, governance, and deployment processes, manual interventions in legacy pipelines introduce errors at rates of 3–5% per change. These errors may not be detected for days or weeks, contaminating downstream analytics and decisions.</w:t>
      </w:r>
    </w:p>
    <w:p>
      <w:pPr>
        <w:pStyle w:val="Heading2"/>
      </w:pPr>
      <w:r>
        <w:t>Data Quality Degradation Without Automated Governance</w:t>
      </w:r>
    </w:p>
    <w:p>
      <w:pPr>
        <w:spacing w:after="120"/>
      </w:pPr>
      <w:r>
        <w:t>Data quality is the foundation upon which all analytics, reporting, and AI/ML capabilities are built. Legacy platforms without automated data quality monitoring and governance frameworks experience progressive quality degradation that erodes trust in data assets and undermines data-driven decision-making.</w:t>
      </w:r>
    </w:p>
    <w:p>
      <w:pPr>
        <w:pStyle w:val="ListParagraph"/>
      </w:pPr>
      <w:r>
        <w:rPr>
          <w:b/>
          <w:sz w:val="22"/>
        </w:rPr>
        <w:t xml:space="preserve">Silent Quality Erosion: </w:t>
      </w:r>
      <w:r>
        <w:rPr>
          <w:sz w:val="22"/>
        </w:rPr>
        <w:t>Without automated quality checks, data quality issues often go undetected until they impact business decisions. Schema drift, source system changes, and pipeline failures introduce errors that propagate through the data chain. Organizations discover quality problems when a report produces incorrect numbers or a model generates erroneous predictions—at which point the damage is already done.</w:t>
      </w:r>
    </w:p>
    <w:p>
      <w:pPr>
        <w:pStyle w:val="ListParagraph"/>
      </w:pPr>
      <w:r>
        <w:rPr>
          <w:b/>
          <w:sz w:val="22"/>
        </w:rPr>
        <w:t xml:space="preserve">Trust Deficit: </w:t>
      </w:r>
      <w:r>
        <w:rPr>
          <w:sz w:val="22"/>
        </w:rPr>
        <w:t>When business users encounter data quality issues repeatedly, they lose trust in the data platform and revert to manual processes, spreadsheets, and tribal knowledge. This trust deficit is extremely difficult to reverse and directly undermines the ROI of any analytics investment.</w:t>
      </w:r>
    </w:p>
    <w:p>
      <w:pPr>
        <w:pStyle w:val="ListParagraph"/>
      </w:pPr>
      <w:r>
        <w:rPr>
          <w:b/>
          <w:sz w:val="22"/>
        </w:rPr>
        <w:t xml:space="preserve">Remediation Cost: </w:t>
      </w:r>
      <w:r>
        <w:rPr>
          <w:sz w:val="22"/>
        </w:rPr>
        <w:t>Each data quality incident requires investigation, root cause analysis, data correction, and downstream impact assessment. The average cost of a data quality incident ranges from $10K to $50K depending on scope and business impact, with major incidents costing $100K or more.</w:t>
      </w:r>
    </w:p>
    <w:p>
      <w:pPr>
        <w:pStyle w:val="Heading2"/>
      </w:pPr>
      <w:r>
        <w:t>BI Bottlenecks Limiting Business Agility</w:t>
      </w:r>
    </w:p>
    <w:p>
      <w:pPr>
        <w:spacing w:after="120"/>
      </w:pPr>
      <w:r>
        <w:t>Business intelligence on legacy platforms is characterized by low adoption, long development cycles, and an over-dependence on IT for data access. These bottlenecks directly impact the organization’s ability to make timely, data-driven decisions.</w:t>
      </w:r>
    </w:p>
    <w:p>
      <w:pPr>
        <w:pStyle w:val="ListParagraph"/>
      </w:pPr>
      <w:r>
        <w:rPr>
          <w:b/>
          <w:sz w:val="22"/>
        </w:rPr>
        <w:t xml:space="preserve">20% Adoption Reality: </w:t>
      </w:r>
      <w:r>
        <w:rPr>
          <w:sz w:val="22"/>
        </w:rPr>
        <w:t>Industry data consistently shows that only 20% of licensed BI users actively use their tools. The remaining 80% rely on static reports, emailed spreadsheets, or colleague interpretations. This means that 80% of the organization’s workforce is making decisions without direct access to current, accurate data—a staggering inefficiency.</w:t>
      </w:r>
    </w:p>
    <w:p>
      <w:pPr>
        <w:pStyle w:val="ListParagraph"/>
      </w:pPr>
      <w:r>
        <w:rPr>
          <w:b/>
          <w:sz w:val="22"/>
        </w:rPr>
        <w:t xml:space="preserve">Weeks-Long Report Development: </w:t>
      </w:r>
      <w:r>
        <w:rPr>
          <w:sz w:val="22"/>
        </w:rPr>
        <w:t>New report and dashboard requests on legacy platforms typically take 2–6 weeks from request to delivery. In markets where competitive advantage is measured in hours, this latency is unacceptable. Business users who cannot get timely answers from BI tools develop workarounds that are often inaccurate and always inefficient.</w:t>
      </w:r>
    </w:p>
    <w:p>
      <w:pPr>
        <w:pStyle w:val="ListParagraph"/>
      </w:pPr>
      <w:r>
        <w:rPr>
          <w:b/>
          <w:sz w:val="22"/>
        </w:rPr>
        <w:t xml:space="preserve">Dashboard Proliferation: </w:t>
      </w:r>
      <w:r>
        <w:rPr>
          <w:sz w:val="22"/>
        </w:rPr>
        <w:t>Without governance and self-service capabilities, organizations accumulate hundreds or thousands of dashboards—many redundant, outdated, or presenting conflicting metrics. This proliferation creates confusion, wastes analyst time on maintenance, and undermines confidence in any single data point.</w:t>
      </w:r>
    </w:p>
    <w:p>
      <w:pPr>
        <w:pStyle w:val="Heading2"/>
      </w:pPr>
      <w:r>
        <w:t>Model Deployment Failures</w:t>
      </w:r>
    </w:p>
    <w:p>
      <w:pPr>
        <w:spacing w:after="120"/>
      </w:pPr>
      <w:r>
        <w:t>The inability to operationalize machine learning models is one of the most expensive operational failures in modern enterprises. Organizations invest significant resources in data science teams and model development, only to see the vast majority of models fail to reach production.</w:t>
      </w:r>
    </w:p>
    <w:p>
      <w:pPr>
        <w:pStyle w:val="ListParagraph"/>
      </w:pPr>
      <w:r>
        <w:rPr>
          <w:b/>
          <w:sz w:val="22"/>
        </w:rPr>
        <w:t xml:space="preserve">87% Non-Deployment Rate: </w:t>
      </w:r>
      <w:r>
        <w:rPr>
          <w:sz w:val="22"/>
        </w:rPr>
        <w:t>Industry research indicates that 87% of machine learning models developed by enterprise data science teams never reach production. Each abandoned model represents weeks to months of data scientist time, infrastructure costs, and business value that was identified but never realized. For a team that develops 20 models per year at an average development cost of $100K each, the annual waste from non-deployed models is approximately $1.74M.</w:t>
      </w:r>
    </w:p>
    <w:p>
      <w:pPr>
        <w:pStyle w:val="ListParagraph"/>
      </w:pPr>
      <w:r>
        <w:rPr>
          <w:b/>
          <w:sz w:val="22"/>
        </w:rPr>
        <w:t xml:space="preserve">MLOps Gap: </w:t>
      </w:r>
      <w:r>
        <w:rPr>
          <w:sz w:val="22"/>
        </w:rPr>
        <w:t>Legacy platforms lack the MLOps infrastructure needed to reliably deploy, monitor, and manage models in production. Without automated deployment pipelines, model versioning, drift detection, and monitoring, even successfully developed models cannot be operationalized safely.</w:t>
      </w:r>
    </w:p>
    <w:p>
      <w:pPr>
        <w:pStyle w:val="ListParagraph"/>
      </w:pPr>
      <w:r>
        <w:rPr>
          <w:b/>
          <w:sz w:val="22"/>
        </w:rPr>
        <w:t xml:space="preserve">Data Science Frustration: </w:t>
      </w:r>
      <w:r>
        <w:rPr>
          <w:sz w:val="22"/>
        </w:rPr>
        <w:t>Data scientists whose models consistently fail to reach production become frustrated and disengaged. Top-tier data science talent is in high demand and will leave organizations where their work does not create business impact. The cost of replacing a senior data scientist is typically 1.5–2x their annual salary.</w:t>
      </w:r>
    </w:p>
    <w:p>
      <w:pPr>
        <w:pStyle w:val="Heading2"/>
      </w:pPr>
      <w:r>
        <w:t>Reactive Operations Causing SLA Breaches</w:t>
      </w:r>
    </w:p>
    <w:p>
      <w:pPr>
        <w:spacing w:after="120"/>
      </w:pPr>
      <w:r>
        <w:t>Organizations managing legacy data platforms in a reactive mode—responding to incidents after they occur rather than preventing them—experience chronic SLA breaches, alert fatigue, and operational instability that erode business trust and consume disproportionate resources.</w:t>
      </w:r>
    </w:p>
    <w:p>
      <w:pPr>
        <w:pStyle w:val="ListParagraph"/>
      </w:pPr>
      <w:r>
        <w:rPr>
          <w:b/>
          <w:sz w:val="22"/>
        </w:rPr>
        <w:t xml:space="preserve">SLA Breach Frequency: </w:t>
      </w:r>
      <w:r>
        <w:rPr>
          <w:sz w:val="22"/>
        </w:rPr>
        <w:t>Legacy platform environments typically experience 5–15 SLA breaches per month, each requiring incident investigation, remediation, and post-mortem analysis. The cumulative time cost of these breaches is 200–500 engineering hours per month—the equivalent of 1–3 additional FTEs dedicated entirely to incident response.</w:t>
      </w:r>
    </w:p>
    <w:p>
      <w:pPr>
        <w:pStyle w:val="ListParagraph"/>
      </w:pPr>
      <w:r>
        <w:rPr>
          <w:b/>
          <w:sz w:val="22"/>
        </w:rPr>
        <w:t xml:space="preserve">Alert Fatigue: </w:t>
      </w:r>
      <w:r>
        <w:rPr>
          <w:sz w:val="22"/>
        </w:rPr>
        <w:t>Operations teams monitoring legacy platforms often receive hundreds of alerts daily, of which only 10–20% are actionable. The volume of false positives and low-priority alerts creates fatigue that causes genuine critical alerts to be missed or delayed, exacerbating the very problems the monitoring is intended to prevent.</w:t>
      </w:r>
    </w:p>
    <w:p>
      <w:pPr>
        <w:pStyle w:val="ListParagraph"/>
      </w:pPr>
      <w:r>
        <w:rPr>
          <w:b/>
          <w:sz w:val="22"/>
        </w:rPr>
        <w:t xml:space="preserve">Cost Unpredictability: </w:t>
      </w:r>
      <w:r>
        <w:rPr>
          <w:sz w:val="22"/>
        </w:rPr>
        <w:t>Reactive operations are inherently unpredictable in cost. Emergency vendor support calls, unplanned maintenance windows, and urgent contractor engagements create budget variances that undermine financial planning and erode CFO confidence.</w:t>
      </w:r>
    </w:p>
    <w:p>
      <w:pPr>
        <w:pStyle w:val="Heading1"/>
      </w:pPr>
      <w:r>
        <w:t>Strategic Cost of Inaction</w:t>
      </w:r>
    </w:p>
    <w:p>
      <w:pPr>
        <w:spacing w:after="120"/>
      </w:pPr>
      <w:r>
        <w:t>Strategic costs are the most consequential and least immediately visible components of the Cost of Inaction. While financial costs appear on P&amp;L statements and operational costs are felt by data teams, strategic costs manifest over quarters and years as competitive position erodes, talent departures accelerate, regulatory risk compounds, and the organization’s capacity for innovation diminishes. By the time strategic costs become visible to leadership, significant damage has already been done.</w:t>
      </w:r>
    </w:p>
    <w:p>
      <w:pPr>
        <w:pStyle w:val="Heading2"/>
      </w:pPr>
      <w:r>
        <w:t>Competitive Disadvantage as Peers Modernize</w:t>
      </w:r>
    </w:p>
    <w:p>
      <w:pPr>
        <w:spacing w:after="120"/>
      </w:pPr>
      <w:r>
        <w:t>The competitive landscape for data-driven organizations is shifting rapidly. Companies that have modernized their data infrastructure are deploying AI-driven capabilities that create measurable advantages in customer experience, operational efficiency, and market responsiveness. Organizations that remain on legacy platforms are falling behind at an accelerating rate.</w:t>
      </w:r>
    </w:p>
    <w:p>
      <w:pPr>
        <w:pStyle w:val="ListParagraph"/>
      </w:pPr>
      <w:r>
        <w:rPr>
          <w:b/>
          <w:sz w:val="22"/>
        </w:rPr>
        <w:t xml:space="preserve">Market Intelligence Gap: </w:t>
      </w:r>
      <w:r>
        <w:rPr>
          <w:sz w:val="22"/>
        </w:rPr>
        <w:t>Organizations on modern platforms can analyze market signals, customer behavior, and competitive dynamics in real-time. Legacy-bound organizations are limited to backward-looking batch analytics that deliver insights days or weeks after the events they analyze. In fast-moving markets, this latency translates directly to lost opportunities and market share.</w:t>
      </w:r>
    </w:p>
    <w:p>
      <w:pPr>
        <w:pStyle w:val="ListParagraph"/>
      </w:pPr>
      <w:r>
        <w:rPr>
          <w:b/>
          <w:sz w:val="22"/>
        </w:rPr>
        <w:t xml:space="preserve">Customer Experience Differential: </w:t>
      </w:r>
      <w:r>
        <w:rPr>
          <w:sz w:val="22"/>
        </w:rPr>
        <w:t>Modern data platforms enable personalized, real-time customer experiences powered by AI/ML. Competitors delivering these experiences set customer expectations that legacy-bound organizations cannot meet, creating satisfaction and retention gaps that compound over time.</w:t>
      </w:r>
    </w:p>
    <w:p>
      <w:pPr>
        <w:pStyle w:val="ListParagraph"/>
      </w:pPr>
      <w:r>
        <w:rPr>
          <w:b/>
          <w:sz w:val="22"/>
        </w:rPr>
        <w:t xml:space="preserve">Partnership and Ecosystem Exclusion: </w:t>
      </w:r>
      <w:r>
        <w:rPr>
          <w:sz w:val="22"/>
        </w:rPr>
        <w:t>Technology partners, cloud providers, and ecosystem vendors increasingly prioritize organizations on modern platforms for joint innovation, beta programs, and co-development opportunities. Organizations on legacy platforms are excluded from these ecosystems, further widening the capability gap.</w:t>
      </w:r>
    </w:p>
    <w:p>
      <w:pPr>
        <w:pStyle w:val="Heading2"/>
      </w:pPr>
      <w:r>
        <w:t>Inability to Attract and Retain Modern Data Talent</w:t>
      </w:r>
    </w:p>
    <w:p>
      <w:pPr>
        <w:spacing w:after="120"/>
      </w:pPr>
      <w:r>
        <w:t>The data talent market is intensely competitive, and top-tier professionals have clear preferences for the technologies and environments they want to work with. Organizations anchored to legacy platforms face a structural disadvantage in talent acquisition and retention.</w:t>
      </w:r>
    </w:p>
    <w:p>
      <w:pPr>
        <w:pStyle w:val="ListParagraph"/>
      </w:pPr>
      <w:r>
        <w:rPr>
          <w:b/>
          <w:sz w:val="22"/>
        </w:rPr>
        <w:t xml:space="preserve">Recruitment Difficulty: </w:t>
      </w:r>
      <w:r>
        <w:rPr>
          <w:sz w:val="22"/>
        </w:rPr>
        <w:t>Job postings that feature legacy technologies (Teradata, Informatica, SAS, COBOL) receive 40–60% fewer qualified applicants than equivalent postings featuring modern technologies (Snowflake, Spark, Python, cloud-native tools). The talent funnel narrows significantly when legacy platforms are prominent in the tech stack.</w:t>
      </w:r>
    </w:p>
    <w:p>
      <w:pPr>
        <w:pStyle w:val="ListParagraph"/>
      </w:pPr>
      <w:r>
        <w:rPr>
          <w:b/>
          <w:sz w:val="22"/>
        </w:rPr>
        <w:t xml:space="preserve">Retention Risk: </w:t>
      </w:r>
      <w:r>
        <w:rPr>
          <w:sz w:val="22"/>
        </w:rPr>
        <w:t>Existing team members who aspire to work with modern technologies become flight risks when the organization delays modernization. Each departure carries a replacement cost of 1.5–2x annual salary, plus the loss of institutional knowledge and team productivity during the transition period.</w:t>
      </w:r>
    </w:p>
    <w:p>
      <w:pPr>
        <w:pStyle w:val="ListParagraph"/>
      </w:pPr>
      <w:r>
        <w:rPr>
          <w:b/>
          <w:sz w:val="22"/>
        </w:rPr>
        <w:t xml:space="preserve">Salary Premium: </w:t>
      </w:r>
      <w:r>
        <w:rPr>
          <w:sz w:val="22"/>
        </w:rPr>
        <w:t>Legacy platform specialists command a scarcity premium of 25–40% above market rates for equivalent modern platform skills. This premium increases annually as the talent pool contracts, creating a permanently escalating cost structure.</w:t>
      </w:r>
    </w:p>
    <w:p>
      <w:pPr>
        <w:pStyle w:val="Heading2"/>
      </w:pPr>
      <w:r>
        <w:t>Regulatory Risk with Inadequate Governance</w:t>
      </w:r>
    </w:p>
    <w:p>
      <w:pPr>
        <w:spacing w:after="120"/>
      </w:pPr>
      <w:r>
        <w:t>The regulatory landscape for data management is becoming more stringent with each passing year. New regulations are introduced, existing regulations are updated with more prescriptive requirements, and enforcement intensity is increasing. Legacy platforms designed before these regulations existed are fundamentally ill-equipped to meet modern compliance standards.</w:t>
      </w:r>
    </w:p>
    <w:p>
      <w:pPr>
        <w:pStyle w:val="ListParagraph"/>
      </w:pPr>
      <w:r>
        <w:rPr>
          <w:b/>
          <w:sz w:val="22"/>
        </w:rPr>
        <w:t xml:space="preserve">Expanding Regulatory Scope: </w:t>
      </w:r>
      <w:r>
        <w:rPr>
          <w:sz w:val="22"/>
        </w:rPr>
        <w:t>GDPR, CCPA, CPRA, and emerging state and national privacy laws are expanding the scope of data governance requirements. Each new regulation adds compliance obligations that legacy platforms can only address through expensive, custom workarounds—if they can address them at all.</w:t>
      </w:r>
    </w:p>
    <w:p>
      <w:pPr>
        <w:pStyle w:val="ListParagraph"/>
      </w:pPr>
      <w:r>
        <w:rPr>
          <w:b/>
          <w:sz w:val="22"/>
        </w:rPr>
        <w:t xml:space="preserve">Increasing Enforcement: </w:t>
      </w:r>
      <w:r>
        <w:rPr>
          <w:sz w:val="22"/>
        </w:rPr>
        <w:t>Regulatory bodies are shifting from guidance-based to enforcement-based approaches. GDPR fines have exceeded $4B cumulatively since 2018, with individual penalties reaching $1.2B. The probability of enforcement action against non-compliant organizations is increasing measurably.</w:t>
      </w:r>
    </w:p>
    <w:p>
      <w:pPr>
        <w:pStyle w:val="ListParagraph"/>
      </w:pPr>
      <w:r>
        <w:rPr>
          <w:b/>
          <w:sz w:val="22"/>
        </w:rPr>
        <w:t xml:space="preserve">AI-Specific Regulations: </w:t>
      </w:r>
      <w:r>
        <w:rPr>
          <w:sz w:val="22"/>
        </w:rPr>
        <w:t>Emerging AI governance frameworks (EU AI Act, NIST AI RMF) will impose new requirements on model governance, bias monitoring, and explainability. Organizations that cannot demonstrate model governance capabilities will face barriers to AI deployment in regulated industries.</w:t>
      </w:r>
    </w:p>
    <w:p>
      <w:pPr>
        <w:pStyle w:val="Heading2"/>
      </w:pPr>
      <w:r>
        <w:t>Innovation Paralysis</w:t>
      </w:r>
    </w:p>
    <w:p>
      <w:pPr>
        <w:spacing w:after="120"/>
      </w:pPr>
      <w:r>
        <w:t>Innovation paralysis is the strategic condition in which an organization recognizes the need for data-driven innovation but lacks the platform capabilities, available resources, and organizational momentum to execute. It is the terminal stage of the Inaction Paradox, where the weight of legacy obligations has become so heavy that meaningful progress is no longer possible without a decisive transformation initiative.</w:t>
      </w:r>
    </w:p>
    <w:p>
      <w:pPr>
        <w:pStyle w:val="ListParagraph"/>
      </w:pPr>
      <w:r>
        <w:rPr>
          <w:b/>
          <w:sz w:val="22"/>
        </w:rPr>
        <w:t xml:space="preserve">Idea-to-Execution Gap: </w:t>
      </w:r>
      <w:r>
        <w:rPr>
          <w:sz w:val="22"/>
        </w:rPr>
        <w:t>Organizations in innovation paralysis have no shortage of ideas for data-driven innovation. They have strategic plans, innovation roadmaps, and executive sponsors. What they lack is the platform capability and engineering capacity to execute. Ideas remain in PowerPoint presentations and strategy documents, generating frustration at every level of the organization.</w:t>
      </w:r>
    </w:p>
    <w:p>
      <w:pPr>
        <w:pStyle w:val="ListParagraph"/>
      </w:pPr>
      <w:r>
        <w:rPr>
          <w:b/>
          <w:sz w:val="22"/>
        </w:rPr>
        <w:t xml:space="preserve">Pilot Proliferation: </w:t>
      </w:r>
      <w:r>
        <w:rPr>
          <w:sz w:val="22"/>
        </w:rPr>
        <w:t>Rather than executing at scale, paralyzed organizations launch endless pilots and proofs of concept—none of which reach production. Each pilot consumes resources, creates expectations, and ultimately disappoints. The accumulation of failed pilots further erodes confidence in the organization’s ability to innovate, reinforcing the paralysis.</w:t>
      </w:r>
    </w:p>
    <w:p>
      <w:pPr>
        <w:pStyle w:val="ListParagraph"/>
      </w:pPr>
      <w:r>
        <w:rPr>
          <w:b/>
          <w:sz w:val="22"/>
        </w:rPr>
        <w:t xml:space="preserve">Cultural Stagnation: </w:t>
      </w:r>
      <w:r>
        <w:rPr>
          <w:sz w:val="22"/>
        </w:rPr>
        <w:t>Over time, innovation paralysis becomes embedded in the organizational culture. Teams stop proposing innovative ideas because they expect them to be rejected or abandoned. Risk aversion becomes the dominant cultural norm. This cultural shift is perhaps the most damaging long-term consequence of delayed modernization, as it persists even after the technical barriers are removed.</w:t>
      </w:r>
    </w:p>
    <w:p>
      <w:pPr>
        <w:pStyle w:val="Heading1"/>
      </w:pPr>
      <w:r>
        <w:t>Three-Year Inaction Cost Model</w:t>
      </w:r>
    </w:p>
    <w:p>
      <w:pPr>
        <w:spacing w:after="120"/>
      </w:pPr>
      <w:r>
        <w:t>The following model projects the cumulative cost of inaction over a three-year horizon for a typical enterprise with legacy data infrastructure. The model is based on industry benchmarks and represents a midpoint estimate—actual costs may be higher or lower depending on the specific platforms, contract terms, and organizational context. This model should be customized with client-specific data gathered during discovery sessions to create a tailored Cost of Inaction analysis for each opportunity.</w:t>
      </w:r>
    </w:p>
    <w:p>
      <w:pPr>
        <w:pStyle w:val="Heading2"/>
      </w:pPr>
      <w:r>
        <w:t>Year 1: Baseline + 10–15% Cost Increase</w:t>
      </w:r>
    </w:p>
    <w:p>
      <w:pPr>
        <w:spacing w:after="120"/>
      </w:pPr>
      <w:r>
        <w:t>Year 1 represents the immediate continuation of current cost trajectories, with the first round of cost escalations beginning to compound. The operational inefficiencies and risks documented in the current state continue unchanged.</w:t>
      </w:r>
    </w:p>
    <w:p>
      <w:pPr>
        <w:pStyle w:val="ListParagraph"/>
      </w:pPr>
      <w:r>
        <w:rPr>
          <w:b/>
          <w:sz w:val="22"/>
        </w:rPr>
        <w:t xml:space="preserve">Licensing Cost Escalation: </w:t>
      </w:r>
      <w:r>
        <w:rPr>
          <w:sz w:val="22"/>
        </w:rPr>
        <w:t>Legacy platform licensing increases of 10–15% at the next renewal cycle add $250K–$375K to a $2.5M annual licensing baseline. This increase is contractually locked in and cannot be avoided without platform migration.</w:t>
      </w:r>
    </w:p>
    <w:p>
      <w:pPr>
        <w:pStyle w:val="ListParagraph"/>
      </w:pPr>
      <w:r>
        <w:rPr>
          <w:b/>
          <w:sz w:val="22"/>
        </w:rPr>
        <w:t xml:space="preserve">Maintenance Headcount Pressure: </w:t>
      </w:r>
      <w:r>
        <w:rPr>
          <w:sz w:val="22"/>
        </w:rPr>
        <w:t>As legacy platforms age, maintenance requirements grow. Year 1 typically sees the addition of 1–2 maintenance FTEs or equivalent contractor engagement, adding $150K–$350K in annual labor cost.</w:t>
      </w:r>
    </w:p>
    <w:p>
      <w:pPr>
        <w:pStyle w:val="ListParagraph"/>
      </w:pPr>
      <w:r>
        <w:rPr>
          <w:b/>
          <w:sz w:val="22"/>
        </w:rPr>
        <w:t xml:space="preserve">Data Quality Incident Costs: </w:t>
      </w:r>
      <w:r>
        <w:rPr>
          <w:sz w:val="22"/>
        </w:rPr>
        <w:t>Without automated governance, data quality incidents continue at a rate of 3–5 per month, each costing $15K–$30K in investigation and remediation effort. Annual data quality cost: $540K–$1.8M.</w:t>
      </w:r>
    </w:p>
    <w:p>
      <w:pPr>
        <w:pStyle w:val="ListParagraph"/>
      </w:pPr>
      <w:r>
        <w:rPr>
          <w:b/>
          <w:sz w:val="22"/>
        </w:rPr>
        <w:t xml:space="preserve">Opportunity Cost Begins: </w:t>
      </w:r>
      <w:r>
        <w:rPr>
          <w:sz w:val="22"/>
        </w:rPr>
        <w:t>Strategic AI/ML initiatives that could have been launched on a modern platform are delayed by 12 months. Estimated opportunity cost of delayed revenue enhancement: $500K–$2M depending on industry and use case portfolio.</w:t>
      </w:r>
    </w:p>
    <w:p>
      <w:pPr>
        <w:pStyle w:val="ListParagraph"/>
      </w:pPr>
      <w:r>
        <w:rPr>
          <w:b/>
          <w:sz w:val="22"/>
        </w:rPr>
        <w:t xml:space="preserve">Year 1 Incremental Cost of Inaction: </w:t>
      </w:r>
      <w:r>
        <w:rPr>
          <w:sz w:val="22"/>
        </w:rPr>
        <w:t>$1.4M–$4.5M above current baseline.</w:t>
      </w:r>
    </w:p>
    <w:p>
      <w:pPr>
        <w:pStyle w:val="Heading2"/>
      </w:pPr>
      <w:r>
        <w:t>Year 2: Compounding + Talent Loss + Compliance Gap</w:t>
      </w:r>
    </w:p>
    <w:p>
      <w:pPr>
        <w:spacing w:after="120"/>
      </w:pPr>
      <w:r>
        <w:t>Year 2 is when the compounding nature of inaction costs becomes clearly visible. Licensing escalation compounds on the Year 1 increase, talent challenges intensify, and compliance gaps begin to attract regulatory attention.</w:t>
      </w:r>
    </w:p>
    <w:p>
      <w:pPr>
        <w:pStyle w:val="ListParagraph"/>
      </w:pPr>
      <w:r>
        <w:rPr>
          <w:b/>
          <w:sz w:val="22"/>
        </w:rPr>
        <w:t xml:space="preserve">Compounding Licensing Escalation: </w:t>
      </w:r>
      <w:r>
        <w:rPr>
          <w:sz w:val="22"/>
        </w:rPr>
        <w:t>Second-year escalation applies to the already-elevated Year 1 base, adding an additional $275K–$430K. Cumulative two-year licensing excess: $525K–$805K above the original baseline.</w:t>
      </w:r>
    </w:p>
    <w:p>
      <w:pPr>
        <w:pStyle w:val="ListParagraph"/>
      </w:pPr>
      <w:r>
        <w:rPr>
          <w:b/>
          <w:sz w:val="22"/>
        </w:rPr>
        <w:t xml:space="preserve">Talent Departure Impact: </w:t>
      </w:r>
      <w:r>
        <w:rPr>
          <w:sz w:val="22"/>
        </w:rPr>
        <w:t>Year 2 typically sees the departure of 1–3 key legacy platform professionals who recognize the organization’s lack of modernization commitment. Replacement costs (recruitment, onboarding, lost productivity): $200K–$500K per departure. Knowledge loss impact: immeasurable but significant.</w:t>
      </w:r>
    </w:p>
    <w:p>
      <w:pPr>
        <w:pStyle w:val="ListParagraph"/>
      </w:pPr>
      <w:r>
        <w:rPr>
          <w:b/>
          <w:sz w:val="22"/>
        </w:rPr>
        <w:t xml:space="preserve">Compliance Gap Emergence: </w:t>
      </w:r>
      <w:r>
        <w:rPr>
          <w:sz w:val="22"/>
        </w:rPr>
        <w:t>Regulatory requirements that were manageable in Year 1 become pressing in Year 2 as new regulations take effect and audit cycles approach. Compliance gap remediation on legacy platforms costs $200K–$500K in manual workarounds and consulting fees—costs that would not exist on a modern, governance-native platform.</w:t>
      </w:r>
    </w:p>
    <w:p>
      <w:pPr>
        <w:pStyle w:val="ListParagraph"/>
      </w:pPr>
      <w:r>
        <w:rPr>
          <w:b/>
          <w:sz w:val="22"/>
        </w:rPr>
        <w:t xml:space="preserve">Competitive Impact Visible: </w:t>
      </w:r>
      <w:r>
        <w:rPr>
          <w:sz w:val="22"/>
        </w:rPr>
        <w:t>By Year 2, competitors who modernized 1–2 years ago are beginning to demonstrate measurable advantages in customer experience, operational efficiency, and time-to-insight. These advantages translate to market share shifts that may be subtle but are directionally concerning.</w:t>
      </w:r>
    </w:p>
    <w:p>
      <w:pPr>
        <w:pStyle w:val="ListParagraph"/>
      </w:pPr>
      <w:r>
        <w:rPr>
          <w:b/>
          <w:sz w:val="22"/>
        </w:rPr>
        <w:t xml:space="preserve">Year 2 Incremental Cost of Inaction: </w:t>
      </w:r>
      <w:r>
        <w:rPr>
          <w:sz w:val="22"/>
        </w:rPr>
        <w:t>$2.0M–$6.5M above current baseline (cumulative with Year 1: $3.4M–$11.0M).</w:t>
      </w:r>
    </w:p>
    <w:p>
      <w:pPr>
        <w:pStyle w:val="Heading2"/>
      </w:pPr>
      <w:r>
        <w:t>Year 3: Critical Risk Exposure + Competitive Disadvantage</w:t>
      </w:r>
    </w:p>
    <w:p>
      <w:pPr>
        <w:spacing w:after="120"/>
      </w:pPr>
      <w:r>
        <w:t>Year 3 represents the point at which inaction costs reach critical mass. The financial, operational, and strategic costs have compounded to a level where modernization is no longer a strategic choice—it is an organizational imperative. The question is no longer whether to modernize, but whether the organization can afford the cost and disruption of emergency modernization under duress.</w:t>
      </w:r>
    </w:p>
    <w:p>
      <w:pPr>
        <w:pStyle w:val="ListParagraph"/>
      </w:pPr>
      <w:r>
        <w:rPr>
          <w:b/>
          <w:sz w:val="22"/>
        </w:rPr>
        <w:t xml:space="preserve">Critical Licensing Position: </w:t>
      </w:r>
      <w:r>
        <w:rPr>
          <w:sz w:val="22"/>
        </w:rPr>
        <w:t>Three years of compounding escalation have increased licensing costs by 33–52% above the original baseline. Cumulative three-year licensing excess: $830K–$1.3M. Some platforms may have reached EOL, requiring emergency migration or expensive extended support agreements that can cost 150–200% of the standard support fee.</w:t>
      </w:r>
    </w:p>
    <w:p>
      <w:pPr>
        <w:pStyle w:val="ListParagraph"/>
      </w:pPr>
      <w:r>
        <w:rPr>
          <w:b/>
          <w:sz w:val="22"/>
        </w:rPr>
        <w:t xml:space="preserve">Talent Crisis: </w:t>
      </w:r>
      <w:r>
        <w:rPr>
          <w:sz w:val="22"/>
        </w:rPr>
        <w:t>The cumulative departure of 3–5 legacy specialists over three years has created critical knowledge gaps. The remaining legacy talent commands premium rates and has significant leverage in negotiations. New legacy talent is nearly impossible to recruit at any price point. The organization is operationally vulnerable to further departures.</w:t>
      </w:r>
    </w:p>
    <w:p>
      <w:pPr>
        <w:pStyle w:val="ListParagraph"/>
      </w:pPr>
      <w:r>
        <w:rPr>
          <w:b/>
          <w:sz w:val="22"/>
        </w:rPr>
        <w:t xml:space="preserve">Compliance Enforcement Risk: </w:t>
      </w:r>
      <w:r>
        <w:rPr>
          <w:sz w:val="22"/>
        </w:rPr>
        <w:t>By Year 3, the organization’s compliance posture has degraded to the point where regulatory findings are likely. Remediation costs on legacy platforms have grown to $500K–$1M, and the risk of regulatory penalties has increased from improbable to plausible. For GDPR-exposed organizations, potential penalties of 4% of global revenue create material financial risk.</w:t>
      </w:r>
    </w:p>
    <w:p>
      <w:pPr>
        <w:pStyle w:val="ListParagraph"/>
      </w:pPr>
      <w:r>
        <w:rPr>
          <w:b/>
          <w:sz w:val="22"/>
        </w:rPr>
        <w:t xml:space="preserve">Competitive Disadvantage Entrenched: </w:t>
      </w:r>
      <w:r>
        <w:rPr>
          <w:sz w:val="22"/>
        </w:rPr>
        <w:t>Three years of delayed modernization have created a significant competitive gap. Peers with modern platforms are operating at 3–5x the analytical velocity, serving customers with AI-driven experiences, and attracting top talent. Closing this gap requires an accelerated, premium-cost modernization program that will be more expensive than a proactive migration would have been.</w:t>
      </w:r>
    </w:p>
    <w:p>
      <w:pPr>
        <w:pStyle w:val="ListParagraph"/>
      </w:pPr>
      <w:r>
        <w:rPr>
          <w:b/>
          <w:sz w:val="22"/>
        </w:rPr>
        <w:t xml:space="preserve">Year 3 Incremental Cost of Inaction: </w:t>
      </w:r>
      <w:r>
        <w:rPr>
          <w:sz w:val="22"/>
        </w:rPr>
        <w:t>$3.0M–$9.0M above current baseline (cumulative three-year total: $6.4M–$20.0M+).</w:t>
      </w:r>
    </w:p>
    <w:p>
      <w:pPr>
        <w:pStyle w:val="Heading2"/>
      </w:pPr>
      <w:r>
        <w:t>Three-Year Cumulative Summary</w:t>
      </w:r>
    </w:p>
    <w:p>
      <w:pPr>
        <w:spacing w:after="120"/>
      </w:pPr>
      <w:r>
        <w:t>The three-year cumulative Cost of Inaction for a typical enterprise ranges from $6.4M to $20M+ when accounting for licensing escalation, maintenance headcount growth, data quality costs, talent loss, compliance remediation, and opportunity cost. When strategic costs such as competitive disadvantage and innovation paralysis are included, the total impact can exceed $25–30M. This figure consistently exceeds the cost of a comprehensive Mastech Digital modernization engagement by a factor of 3–5x, demonstrating that modernization is not merely cost-effective—it is the financially rational choice by a significant margin.</w:t>
      </w:r>
    </w:p>
    <w:p>
      <w:pPr>
        <w:pStyle w:val="Heading1"/>
      </w:pPr>
      <w:r>
        <w:t>The Case for Acting Now</w:t>
      </w:r>
    </w:p>
    <w:p>
      <w:pPr>
        <w:spacing w:after="120"/>
      </w:pPr>
      <w:r>
        <w:t>The data presented in this analysis leads to an unambiguous conclusion: the best time to modernize legacy data infrastructure is now. Every quarter of delay adds to the cumulative cost of inaction, narrows the available talent pool, widens the competitive gap, and increases the eventual cost and disruption of migration. The case for acting now is supported by five converging factors that make the current moment uniquely favorable for modernization.</w:t>
      </w:r>
    </w:p>
    <w:p>
      <w:pPr>
        <w:pStyle w:val="Heading2"/>
      </w:pPr>
      <w:r>
        <w:t>Why Now Is the Optimal Window</w:t>
      </w:r>
    </w:p>
    <w:p>
      <w:pPr>
        <w:pStyle w:val="ListParagraph"/>
      </w:pPr>
      <w:r>
        <w:rPr>
          <w:b/>
          <w:sz w:val="22"/>
        </w:rPr>
        <w:t xml:space="preserve">Lowest Future Cost Point: </w:t>
      </w:r>
      <w:r>
        <w:rPr>
          <w:sz w:val="22"/>
        </w:rPr>
        <w:t>Licensing escalation, talent scarcity, and technical complexity ensure that modernization will never be less expensive than it is today. Every quarter of delay increases the eventual migration cost by 5–10% through accumulated technical debt, additional data volume, and shrinking talent availability. Acting now locks in the lowest possible cost.</w:t>
      </w:r>
    </w:p>
    <w:p>
      <w:pPr>
        <w:pStyle w:val="ListParagraph"/>
      </w:pPr>
      <w:r>
        <w:rPr>
          <w:b/>
          <w:sz w:val="22"/>
        </w:rPr>
        <w:t xml:space="preserve">Maximum Talent Availability: </w:t>
      </w:r>
      <w:r>
        <w:rPr>
          <w:sz w:val="22"/>
        </w:rPr>
        <w:t>The pool of professionals who can bridge legacy and modern platforms—understanding both Teradata and Snowflake, both Informatica and PySpark—is at its peak right now and shrinking annually. Mastech Digital has assembled teams with this dual expertise, but the window for leveraging this talent is narrowing.</w:t>
      </w:r>
    </w:p>
    <w:p>
      <w:pPr>
        <w:pStyle w:val="ListParagraph"/>
      </w:pPr>
      <w:r>
        <w:rPr>
          <w:b/>
          <w:sz w:val="22"/>
        </w:rPr>
        <w:t xml:space="preserve">Proven Methodology: </w:t>
      </w:r>
      <w:r>
        <w:rPr>
          <w:sz w:val="22"/>
        </w:rPr>
        <w:t>Mastech’s SLM-powered modernization approach has been validated across multiple enterprise migrations, delivering 50–70% faster timelines, 100% business logic fidelity, and 40–60% TCO reduction. The methodology is mature, proven, and de-risked—eliminating the uncertainty that historically made migration decisions difficult.</w:t>
      </w:r>
    </w:p>
    <w:p>
      <w:pPr>
        <w:pStyle w:val="ListParagraph"/>
      </w:pPr>
      <w:r>
        <w:rPr>
          <w:b/>
          <w:sz w:val="22"/>
        </w:rPr>
        <w:t xml:space="preserve">Platform Maturity: </w:t>
      </w:r>
      <w:r>
        <w:rPr>
          <w:sz w:val="22"/>
        </w:rPr>
        <w:t>The Snowflake Data Cloud Platform has reached a level of enterprise maturity—with Snowflake Horizon for governance, Snowflake’s query acceleration for performance, and serverless compute for cost optimization—that makes it a comprehensive replacement for legacy data infrastructure. The target platform is ready.</w:t>
      </w:r>
    </w:p>
    <w:p>
      <w:pPr>
        <w:pStyle w:val="ListParagraph"/>
      </w:pPr>
      <w:r>
        <w:rPr>
          <w:b/>
          <w:sz w:val="22"/>
        </w:rPr>
        <w:t xml:space="preserve">Competitive Imperative: </w:t>
      </w:r>
      <w:r>
        <w:rPr>
          <w:sz w:val="22"/>
        </w:rPr>
        <w:t>The window to modernize proactively and gain competitive advantage is open now but closing. As more organizations complete their modernization journeys, the advantage shifts from being ahead of the curve to merely keeping pace. Organizations that act now capture first-mover advantage in their respective markets.</w:t>
      </w:r>
    </w:p>
    <w:p>
      <w:pPr>
        <w:pStyle w:val="Heading2"/>
      </w:pPr>
      <w:r>
        <w:t>Mapping to Mastech’s Snowflake Offerings</w:t>
      </w:r>
    </w:p>
    <w:p>
      <w:pPr>
        <w:spacing w:after="120"/>
      </w:pPr>
      <w:r>
        <w:t>Mastech Digital’s five Snowflake-powered offerings provide a comprehensive modernization pathway that addresses every dimension of the Cost of Inaction identified in this analysis.</w:t>
      </w:r>
    </w:p>
    <w:p>
      <w:pPr>
        <w:pStyle w:val="ListParagraph"/>
      </w:pPr>
      <w:r>
        <w:rPr>
          <w:b/>
          <w:sz w:val="22"/>
        </w:rPr>
        <w:t xml:space="preserve">AI-Native Platform Modernization: </w:t>
      </w:r>
      <w:r>
        <w:rPr>
          <w:sz w:val="22"/>
        </w:rPr>
        <w:t>Eliminates the $500K–$2M+ annual licensing costs, infrastructure refresh cycles, and vendor lock-in that drive the Financial Cost of Inaction. SLM-powered automation ensures rapid, accurate migration with 100% business logic preservation.</w:t>
      </w:r>
    </w:p>
    <w:p>
      <w:pPr>
        <w:pStyle w:val="ListParagraph"/>
      </w:pPr>
      <w:r>
        <w:rPr>
          <w:b/>
          <w:sz w:val="22"/>
        </w:rPr>
        <w:t xml:space="preserve">Autonomous Data Engineering: </w:t>
      </w:r>
      <w:r>
        <w:rPr>
          <w:sz w:val="22"/>
        </w:rPr>
        <w:t>Eliminates the 70%+ maintenance burden, pipeline fragility, and data quality degradation that drive the Operational Cost of Inaction. AI agent-based orchestration transforms data engineering from reactive maintenance to proactive innovation.</w:t>
      </w:r>
    </w:p>
    <w:p>
      <w:pPr>
        <w:pStyle w:val="ListParagraph"/>
      </w:pPr>
      <w:r>
        <w:rPr>
          <w:b/>
          <w:sz w:val="22"/>
        </w:rPr>
        <w:t xml:space="preserve">Autonomous Analytics &amp; BI: </w:t>
      </w:r>
      <w:r>
        <w:rPr>
          <w:sz w:val="22"/>
        </w:rPr>
        <w:t>Breaks the BI bottleneck by increasing business user adoption from 20% to 60%+, reducing report development from weeks to minutes, and enabling natural-language data access that eliminates IT dependency for analytics.</w:t>
      </w:r>
    </w:p>
    <w:p>
      <w:pPr>
        <w:pStyle w:val="ListParagraph"/>
      </w:pPr>
      <w:r>
        <w:rPr>
          <w:b/>
          <w:sz w:val="22"/>
        </w:rPr>
        <w:t xml:space="preserve">Autonomous Data Science: </w:t>
      </w:r>
      <w:r>
        <w:rPr>
          <w:sz w:val="22"/>
        </w:rPr>
        <w:t>Increases model deployment rate from 13% to 60%+, compresses development cycles from months to weeks, and provides the ML governance framework needed for regulated industries. This directly addresses the $1.7M+ annual waste from non-deployed models.</w:t>
      </w:r>
    </w:p>
    <w:p>
      <w:pPr>
        <w:pStyle w:val="ListParagraph"/>
      </w:pPr>
      <w:r>
        <w:rPr>
          <w:b/>
          <w:sz w:val="22"/>
        </w:rPr>
        <w:t xml:space="preserve">Autonomous Platform Operations: </w:t>
      </w:r>
      <w:r>
        <w:rPr>
          <w:sz w:val="22"/>
        </w:rPr>
        <w:t>Replaces reactive, manual operations with proactive, AI-driven platform management. The 8-dimensional framework eliminates SLA breaches, alert fatigue, and cost overruns—delivering predictable, optimized platform operations at 25–35% lower cost.</w:t>
      </w:r>
    </w:p>
    <w:p>
      <w:pPr>
        <w:pStyle w:val="Heading1"/>
      </w:pPr>
      <w:r>
        <w:t>Conclusion</w:t>
      </w:r>
    </w:p>
    <w:p>
      <w:pPr>
        <w:spacing w:after="120"/>
      </w:pPr>
      <w:r>
        <w:t>The Cost of Inaction is not a theoretical exercise. It is a rigorous, data-driven analysis that demonstrates a fundamental truth: the most expensive option available to organizations with legacy data infrastructure is to do nothing. Every financial model, operational assessment, and strategic analysis presented in this document points to the same conclusion—the cost of maintaining legacy platforms exceeds the cost of modernization by a factor of 3–5x over a three-year horizon.</w:t>
      </w:r>
    </w:p>
    <w:p>
      <w:pPr>
        <w:spacing w:after="120"/>
      </w:pPr>
      <w:r>
        <w:t>For executive stakeholders weighing the modernization decision, the question is not whether the organization can afford to invest in transformation. The question is whether it can afford the $6.4M–$20M+ in cumulative costs, the erosion of competitive position, the departure of key talent, and the growing regulatory exposure that accompany each year of delayed action. The evidence is clear: inaction is the most expensive and most risky strategy available.</w:t>
      </w:r>
    </w:p>
    <w:p>
      <w:pPr>
        <w:spacing w:after="120"/>
      </w:pPr>
      <w:r>
        <w:t>Mastech Digital’s five Snowflake-powered offerings provide a proven, comprehensive pathway from legacy liability to modern capability. With SLM-powered migration automation, AI agent-based data engineering, natural-language analytics, automated ML lifecycle management, and intelligent platform operations, Mastech delivers measurable ROI within the first year of engagement. The technology is proven. The methodology is validated. The platform is ready. The only remaining variable is the decision to act—and every day of delay makes that eventual action more expensive, more complex, and more urgent. The best time to modernize was yesterday. The second-best time is today.</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rPr>
      <w:rFonts w:ascii="Aptos" w:hAnsi="Aptos"/>
      <w:sz w:val="22"/>
    </w:rPr>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b/>
      <w:color w:val="0F4761"/>
      <w:spacing w:val="-10"/>
      <w:kern w:val="28"/>
      <w:sz w:val="72"/>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